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B63" w:rsidP="00B35B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AURJTA002 Remove and replace motorcycle components and accessories</w:t>
      </w:r>
      <w:r>
        <w:fldChar w:fldCharType="end"/>
      </w:r>
    </w:p>
    <w:p w:rsidR="00B35B63" w:rsidP="00B35B63">
      <w:pPr>
        <w:pStyle w:val="Version"/>
        <w:sectPr w:rsidSect="00C05D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DEA" w:rsidP="00C05DEA">
      <w:pPr>
        <w:pStyle w:val="SuperHeading"/>
      </w:pPr>
      <w:r w:rsidRPr="00C05DEA">
        <w:t>Assessment Requirements for AURJTA002 Remove and replace motorcycle components and accessories</w:t>
      </w:r>
    </w:p>
    <w:p w:rsidR="00000000" w:rsidRPr="00C05DEA" w:rsidP="00C05DEA">
      <w:pPr>
        <w:pStyle w:val="Heading1"/>
      </w:pPr>
      <w:bookmarkStart w:id="1" w:name="O_794947"/>
      <w:bookmarkEnd w:id="1"/>
      <w:r w:rsidRPr="00C05D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35B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EA" w:rsidP="00C05DEA">
            <w:pPr>
              <w:pStyle w:val="BodyText"/>
            </w:pPr>
            <w:r w:rsidRPr="00C05D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EA">
            <w:pPr>
              <w:pStyle w:val="BodyText"/>
              <w:rPr>
                <w:lang w:val="en-NZ"/>
              </w:rPr>
            </w:pPr>
            <w:r w:rsidRPr="00C05DEA">
              <w:rPr>
                <w:rStyle w:val="SpecialBold"/>
              </w:rPr>
              <w:t>Comment</w:t>
            </w:r>
          </w:p>
        </w:tc>
      </w:tr>
      <w:tr w:rsidTr="00B35B6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DEA">
            <w:pPr>
              <w:pStyle w:val="BodyText"/>
              <w:rPr>
                <w:lang w:val="en-NZ"/>
              </w:rPr>
            </w:pPr>
            <w:r w:rsidRPr="00C05D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DEA" w:rsidP="00C05DEA">
            <w:pPr>
              <w:pStyle w:val="BodyText"/>
            </w:pPr>
            <w:r w:rsidRPr="00C05DEA">
              <w:t>New unit of competency.</w:t>
            </w:r>
          </w:p>
        </w:tc>
      </w:tr>
    </w:tbl>
    <w:p w:rsidR="00000000" w:rsidRPr="00C05DEA" w:rsidP="00C05DEA">
      <w:pPr>
        <w:pStyle w:val="BodyText"/>
      </w:pPr>
    </w:p>
    <w:p w:rsidR="00000000" w:rsidRPr="00C05DEA" w:rsidP="00C05DEA">
      <w:pPr>
        <w:pStyle w:val="AllowPageBreak"/>
      </w:pPr>
    </w:p>
    <w:p w:rsidR="00000000" w:rsidRPr="00C05DEA" w:rsidP="00C05DEA">
      <w:pPr>
        <w:pStyle w:val="Heading1"/>
      </w:pPr>
      <w:bookmarkStart w:id="2" w:name="O_794948"/>
      <w:bookmarkEnd w:id="2"/>
      <w:r w:rsidRPr="00C05DEA">
        <w:t>Performance Evidence</w:t>
      </w:r>
    </w:p>
    <w:p w:rsidR="00000000" w:rsidRPr="00C05DEA" w:rsidP="00B35B63">
      <w:pPr>
        <w:pStyle w:val="BodyText"/>
      </w:pPr>
      <w:r w:rsidRPr="00C05DEA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C05DEA" w:rsidP="00C05DEA">
      <w:pPr>
        <w:pStyle w:val="ListBullet"/>
      </w:pPr>
      <w:r w:rsidRPr="00C05DEA">
        <w:t>remove and replace three of the f</w:t>
      </w:r>
      <w:r w:rsidRPr="00C05DEA">
        <w:t>ollowing motorcycle components and accessories:</w:t>
      </w:r>
    </w:p>
    <w:p w:rsidR="00000000" w:rsidRPr="00C05DEA" w:rsidP="00C05DEA">
      <w:pPr>
        <w:pStyle w:val="ListBullet2"/>
      </w:pPr>
      <w:r w:rsidRPr="00C05DEA">
        <w:t>wheels</w:t>
      </w:r>
    </w:p>
    <w:p w:rsidR="00000000" w:rsidRPr="00C05DEA" w:rsidP="00C05DEA">
      <w:pPr>
        <w:pStyle w:val="ListBullet2"/>
      </w:pPr>
      <w:r w:rsidRPr="00C05DEA">
        <w:t>mudguards</w:t>
      </w:r>
    </w:p>
    <w:p w:rsidR="00000000" w:rsidRPr="00C05DEA" w:rsidP="00C05DEA">
      <w:pPr>
        <w:pStyle w:val="ListBullet2"/>
      </w:pPr>
      <w:r w:rsidRPr="00C05DEA">
        <w:t>lighting system components</w:t>
      </w:r>
    </w:p>
    <w:p w:rsidR="00000000" w:rsidRPr="00C05DEA" w:rsidP="00C05DEA">
      <w:pPr>
        <w:pStyle w:val="ListBullet2"/>
      </w:pPr>
      <w:r w:rsidRPr="00C05DEA">
        <w:t>suspension system components</w:t>
      </w:r>
    </w:p>
    <w:p w:rsidR="00000000" w:rsidRPr="00C05DEA" w:rsidP="00C05DEA">
      <w:pPr>
        <w:pStyle w:val="ListBullet2"/>
      </w:pPr>
      <w:r w:rsidRPr="00C05DEA">
        <w:t>brake system components</w:t>
      </w:r>
    </w:p>
    <w:p w:rsidR="00000000" w:rsidRPr="00C05DEA" w:rsidP="00C05DEA">
      <w:pPr>
        <w:pStyle w:val="ListBullet2"/>
      </w:pPr>
      <w:r w:rsidRPr="00C05DEA">
        <w:t>fuel tank</w:t>
      </w:r>
    </w:p>
    <w:p w:rsidR="00000000" w:rsidRPr="00C05DEA" w:rsidP="00C05DEA">
      <w:pPr>
        <w:pStyle w:val="ListBullet2"/>
      </w:pPr>
      <w:r w:rsidRPr="00C05DEA">
        <w:t>oil tank</w:t>
      </w:r>
    </w:p>
    <w:p w:rsidR="00000000" w:rsidRPr="00C05DEA" w:rsidP="00C05DEA">
      <w:pPr>
        <w:pStyle w:val="ListBullet2"/>
      </w:pPr>
      <w:r w:rsidRPr="00C05DEA">
        <w:t>seat</w:t>
      </w:r>
    </w:p>
    <w:p w:rsidR="00000000" w:rsidRPr="00C05DEA" w:rsidP="00C05DEA">
      <w:pPr>
        <w:pStyle w:val="ListBullet2"/>
      </w:pPr>
      <w:r w:rsidRPr="00C05DEA">
        <w:t>control cables</w:t>
      </w:r>
    </w:p>
    <w:p w:rsidR="00000000" w:rsidRPr="00C05DEA" w:rsidP="00C05DEA">
      <w:pPr>
        <w:pStyle w:val="ListBullet2"/>
      </w:pPr>
      <w:r w:rsidRPr="00C05DEA">
        <w:t>ignition system components</w:t>
      </w:r>
    </w:p>
    <w:p w:rsidR="00000000" w:rsidRPr="00C05DEA" w:rsidP="00C05DEA">
      <w:pPr>
        <w:pStyle w:val="ListBullet2"/>
      </w:pPr>
      <w:r w:rsidRPr="00C05DEA">
        <w:t>handlebars and hand controls</w:t>
      </w:r>
    </w:p>
    <w:p w:rsidR="00000000" w:rsidRPr="00C05DEA" w:rsidP="00C05DEA">
      <w:pPr>
        <w:pStyle w:val="ListBullet2"/>
      </w:pPr>
      <w:r w:rsidRPr="00C05DEA">
        <w:t>foot controls and foot pegs</w:t>
      </w:r>
    </w:p>
    <w:p w:rsidR="00000000" w:rsidRPr="00C05DEA" w:rsidP="00C05DEA">
      <w:pPr>
        <w:pStyle w:val="ListBullet2"/>
      </w:pPr>
      <w:r w:rsidRPr="00C05DEA">
        <w:t>mufflers and exhaust pipes</w:t>
      </w:r>
    </w:p>
    <w:p w:rsidR="00000000" w:rsidRPr="00C05DEA" w:rsidP="00C05DEA">
      <w:pPr>
        <w:pStyle w:val="ListBullet2"/>
      </w:pPr>
      <w:r w:rsidRPr="00C05DEA">
        <w:t>windshield</w:t>
      </w:r>
    </w:p>
    <w:p w:rsidR="00000000" w:rsidRPr="00C05DEA" w:rsidP="00C05DEA">
      <w:pPr>
        <w:pStyle w:val="ListBullet2"/>
      </w:pPr>
      <w:r w:rsidRPr="00C05DEA">
        <w:t>pannier bags</w:t>
      </w:r>
    </w:p>
    <w:p w:rsidR="00000000" w:rsidRPr="00C05DEA" w:rsidP="00C05DEA">
      <w:pPr>
        <w:pStyle w:val="ListBullet2"/>
      </w:pPr>
      <w:r w:rsidRPr="00C05DEA">
        <w:t>luggage racks.</w:t>
      </w:r>
    </w:p>
    <w:p w:rsidR="00000000" w:rsidRPr="00C05DEA" w:rsidP="00C05DEA">
      <w:pPr>
        <w:pStyle w:val="AllowPageBreak"/>
      </w:pPr>
    </w:p>
    <w:p w:rsidR="00000000" w:rsidRPr="00C05DEA" w:rsidP="00C05DEA">
      <w:pPr>
        <w:pStyle w:val="Heading1"/>
      </w:pPr>
      <w:bookmarkStart w:id="3" w:name="O_794949"/>
      <w:bookmarkEnd w:id="3"/>
      <w:r w:rsidRPr="00C05DEA">
        <w:t>Knowledge Evidence</w:t>
      </w:r>
    </w:p>
    <w:p w:rsidR="00000000" w:rsidRPr="00C05DEA" w:rsidP="00B35B63">
      <w:pPr>
        <w:pStyle w:val="BodyText"/>
      </w:pPr>
      <w:r w:rsidRPr="00C05DEA">
        <w:t>Individuals must be able to demonstrate knowledge of:</w:t>
      </w:r>
    </w:p>
    <w:p w:rsidR="00000000" w:rsidRPr="00C05DEA" w:rsidP="00C05DEA">
      <w:pPr>
        <w:pStyle w:val="ListBullet"/>
      </w:pPr>
      <w:r w:rsidRPr="00C05DEA">
        <w:t>work health and safety (WHS) and occupational health and safety (OHS) requirements relating to removing and replacing motorcycle components and accessories, including:</w:t>
      </w:r>
    </w:p>
    <w:p w:rsidR="00000000" w:rsidRPr="00C05DEA" w:rsidP="00C05DEA">
      <w:pPr>
        <w:pStyle w:val="ListBullet2"/>
      </w:pPr>
      <w:r w:rsidRPr="00C05DEA">
        <w:t>lifting and supporting motorcycles</w:t>
      </w:r>
    </w:p>
    <w:p w:rsidR="00000000" w:rsidRPr="00C05DEA" w:rsidP="00C05DEA">
      <w:pPr>
        <w:pStyle w:val="ListBullet2"/>
      </w:pPr>
      <w:r w:rsidRPr="00C05DEA">
        <w:t>selecting and using personal protective equipment (P</w:t>
      </w:r>
      <w:r w:rsidRPr="00C05DEA">
        <w:t>PE)</w:t>
      </w:r>
    </w:p>
    <w:p w:rsidR="00000000" w:rsidRPr="00C05DEA" w:rsidP="00C05DEA">
      <w:pPr>
        <w:pStyle w:val="ListBullet2"/>
      </w:pPr>
      <w:r w:rsidRPr="00C05DEA">
        <w:t>avoiding entanglement when working with chains, sprockets, belts and pulleys</w:t>
      </w:r>
    </w:p>
    <w:p w:rsidR="00000000" w:rsidRPr="00C05DEA" w:rsidP="00C05DEA">
      <w:pPr>
        <w:pStyle w:val="ListBullet"/>
      </w:pPr>
      <w:r w:rsidRPr="00C05DEA">
        <w:t>environmental requirements, including procedures for trapping, storing and disposing of lubricants, oils and fluids released during the adjustment process</w:t>
      </w:r>
    </w:p>
    <w:p w:rsidR="00000000" w:rsidRPr="00C05DEA" w:rsidP="00C05DEA">
      <w:pPr>
        <w:pStyle w:val="ListBullet"/>
      </w:pPr>
      <w:r w:rsidRPr="00C05DEA">
        <w:t xml:space="preserve">identification and </w:t>
      </w:r>
      <w:r w:rsidRPr="00C05DEA">
        <w:t>function of the motorcycle components and accessories specified in the performance evidence</w:t>
      </w:r>
    </w:p>
    <w:p w:rsidR="00000000" w:rsidRPr="00C05DEA" w:rsidP="00C05DEA">
      <w:pPr>
        <w:pStyle w:val="ListBullet"/>
      </w:pPr>
      <w:r w:rsidRPr="00C05DEA">
        <w:t>motorcycle removal and replacement procedures, including the use of tools and equipment</w:t>
      </w:r>
    </w:p>
    <w:p w:rsidR="00000000" w:rsidRPr="00C05DEA" w:rsidP="00C05DEA">
      <w:pPr>
        <w:pStyle w:val="ListBullet"/>
      </w:pPr>
      <w:r w:rsidRPr="00C05DEA">
        <w:t>testing procedures and adjustment methods relating to motorcycle component a</w:t>
      </w:r>
      <w:r w:rsidRPr="00C05DEA">
        <w:t>nd accessory removal and replacement</w:t>
      </w:r>
    </w:p>
    <w:p w:rsidR="00000000" w:rsidRPr="00C05DEA" w:rsidP="00C05DEA">
      <w:pPr>
        <w:pStyle w:val="ListBullet"/>
      </w:pPr>
      <w:r w:rsidRPr="00C05DEA">
        <w:t>motorcycle post-adjustment testing procedures.</w:t>
      </w:r>
    </w:p>
    <w:p w:rsidR="00000000" w:rsidRPr="00C05DEA" w:rsidP="00C05DEA">
      <w:pPr>
        <w:pStyle w:val="AllowPageBreak"/>
      </w:pPr>
    </w:p>
    <w:p w:rsidR="00000000" w:rsidRPr="00C05DEA" w:rsidP="00C05DEA">
      <w:pPr>
        <w:pStyle w:val="Heading1"/>
      </w:pPr>
      <w:bookmarkStart w:id="4" w:name="O_794950"/>
      <w:bookmarkEnd w:id="4"/>
      <w:r w:rsidRPr="00C05DEA">
        <w:t>Assessment Conditions</w:t>
      </w:r>
    </w:p>
    <w:p w:rsidR="00000000" w:rsidRPr="00C05DEA" w:rsidP="00B35B63">
      <w:pPr>
        <w:pStyle w:val="BodyText"/>
      </w:pPr>
      <w:r w:rsidRPr="00C05DEA">
        <w:t>Assessors must satisfy NVR/AQTF assessor requirements.</w:t>
      </w:r>
    </w:p>
    <w:p w:rsidR="00000000" w:rsidRPr="00C05DEA" w:rsidP="00B35B63">
      <w:pPr>
        <w:pStyle w:val="BodyText"/>
      </w:pPr>
      <w:r w:rsidRPr="00C05DEA">
        <w:t>Competency is to be assessed in the workplace or a simulated environment that accurately reflects performance in a real workplace setting.</w:t>
      </w:r>
    </w:p>
    <w:p w:rsidR="00000000" w:rsidRPr="00C05DEA" w:rsidP="00B35B63">
      <w:pPr>
        <w:pStyle w:val="BodyText"/>
      </w:pPr>
      <w:r w:rsidRPr="00C05DEA">
        <w:t>Assessment must include direct observation of tasks.</w:t>
      </w:r>
    </w:p>
    <w:p w:rsidR="00000000" w:rsidRPr="00C05DEA" w:rsidP="00B35B63">
      <w:pPr>
        <w:pStyle w:val="BodyText"/>
      </w:pPr>
      <w:r w:rsidRPr="00C05DEA">
        <w:t xml:space="preserve">Where assessment of competency includes third-party evidence, </w:t>
      </w:r>
      <w:r w:rsidRPr="00C05DEA">
        <w:t>individuals must provide evidence that links them to the motorcycle components and accessories that they have removed and replaced, e.g. repair orders.</w:t>
      </w:r>
    </w:p>
    <w:p w:rsidR="00000000" w:rsidRPr="00C05DEA" w:rsidP="00B35B63">
      <w:pPr>
        <w:pStyle w:val="BodyText"/>
      </w:pPr>
      <w:r w:rsidRPr="00C05DEA">
        <w:t>Assessors must verify performance evidence through questioning on skills and knowledge to ensure correc</w:t>
      </w:r>
      <w:r w:rsidRPr="00C05DEA">
        <w:t>t interpretation and application.</w:t>
      </w:r>
    </w:p>
    <w:p w:rsidR="00000000" w:rsidRPr="00C05DEA" w:rsidP="00B35B63">
      <w:pPr>
        <w:pStyle w:val="BodyText"/>
      </w:pPr>
      <w:r w:rsidRPr="00C05DEA">
        <w:t>The following resources must be made available:</w:t>
      </w:r>
    </w:p>
    <w:p w:rsidR="00000000" w:rsidRPr="00C05DEA" w:rsidP="00C05DEA">
      <w:pPr>
        <w:pStyle w:val="ListBullet"/>
      </w:pPr>
      <w:r w:rsidRPr="00C05DEA">
        <w:t>automotive workplace or simulated workplace</w:t>
      </w:r>
    </w:p>
    <w:p w:rsidR="00000000" w:rsidRPr="00C05DEA" w:rsidP="00C05DEA">
      <w:pPr>
        <w:pStyle w:val="ListBullet"/>
      </w:pPr>
      <w:r w:rsidRPr="00C05DEA">
        <w:t>workplace instructions</w:t>
      </w:r>
    </w:p>
    <w:p w:rsidR="00000000" w:rsidRPr="00C05DEA" w:rsidP="00C05DEA">
      <w:pPr>
        <w:pStyle w:val="ListBullet"/>
      </w:pPr>
      <w:r w:rsidRPr="00C05DEA">
        <w:t>motorcycle component and accessory specifications</w:t>
      </w:r>
    </w:p>
    <w:p w:rsidR="00000000" w:rsidRPr="00C05DEA" w:rsidP="00C05DEA">
      <w:pPr>
        <w:pStyle w:val="ListBullet"/>
      </w:pPr>
      <w:r w:rsidRPr="00C05DEA">
        <w:t>one motorcycle and the motorcycle components and access</w:t>
      </w:r>
      <w:r w:rsidRPr="00C05DEA">
        <w:t>ories specified in the performance evidence</w:t>
      </w:r>
    </w:p>
    <w:p w:rsidR="00000000" w:rsidRPr="00C05DEA" w:rsidP="00C05DEA">
      <w:pPr>
        <w:pStyle w:val="ListBullet"/>
      </w:pPr>
      <w:r w:rsidRPr="00C05DEA">
        <w:t>tools, equipment and materials appropriate for removing and replacing motorcycle components and accessories.</w:t>
      </w:r>
    </w:p>
    <w:p w:rsidR="00000000" w:rsidRPr="00C05DEA" w:rsidP="00C05DEA">
      <w:pPr>
        <w:pStyle w:val="AllowPageBreak"/>
      </w:pPr>
    </w:p>
    <w:p w:rsidR="00000000" w:rsidRPr="00C05DEA" w:rsidP="00C05DEA">
      <w:pPr>
        <w:pStyle w:val="Heading1"/>
      </w:pPr>
      <w:bookmarkStart w:id="5" w:name="O_794953"/>
      <w:bookmarkEnd w:id="5"/>
      <w:r w:rsidRPr="00C05DEA">
        <w:t>Links</w:t>
      </w:r>
    </w:p>
    <w:p w:rsidR="00000000" w:rsidRPr="00C05DEA" w:rsidP="00B35B63">
      <w:pPr>
        <w:pStyle w:val="BodyText"/>
      </w:pPr>
      <w:r w:rsidRPr="00C05D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26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05DEA" w:rsidP="00B35B63">
      <w:pPr>
        <w:pStyle w:val="BodyText"/>
      </w:pPr>
      <w:r w:rsidRPr="00C05D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D261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05DEA" w:rsidP="00C05DEA"/>
    <w:sectPr w:rsidSect="00C05D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EA" w:rsidRPr="00B35B63" w:rsidP="00B35B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63" w:rsidP="00C05D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B63" w:rsidP="00C05D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35B63" w:rsidP="00C05D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DEA" w:rsidRPr="00B35B63" w:rsidP="00B35B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D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B63" w:rsidRPr="002D2AF8" w:rsidP="00C05D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AURJTA002 Remove and replace motorcycle components and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35B63" w:rsidP="00C05D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8EF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603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38A6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D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D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D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D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D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D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D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D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D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D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DEA"/>
  </w:style>
  <w:style w:type="character" w:customStyle="1" w:styleId="Heading1Char">
    <w:name w:val="Heading 1 Char"/>
    <w:basedOn w:val="DefaultParagraphFont"/>
    <w:link w:val="Heading1"/>
    <w:rsid w:val="00C05D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D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D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D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5DEA"/>
    <w:rPr>
      <w:b/>
      <w:spacing w:val="0"/>
    </w:rPr>
  </w:style>
  <w:style w:type="paragraph" w:styleId="ListBullet2">
    <w:name w:val="List Bullet 2"/>
    <w:basedOn w:val="List2"/>
    <w:rsid w:val="00C05D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5D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D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5D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D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D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D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D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D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D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D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D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D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D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D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D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D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D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D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D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D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5D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D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D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5D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D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D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D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D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D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D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D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D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5DEA"/>
    <w:rPr>
      <w:i/>
    </w:rPr>
  </w:style>
  <w:style w:type="paragraph" w:styleId="Caption">
    <w:name w:val="caption"/>
    <w:basedOn w:val="BodyText"/>
    <w:next w:val="Normal"/>
    <w:qFormat/>
    <w:rsid w:val="00C05D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D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D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DEA"/>
  </w:style>
  <w:style w:type="paragraph" w:styleId="TableofFigures">
    <w:name w:val="table of figures"/>
    <w:basedOn w:val="Normal"/>
    <w:next w:val="Normal"/>
    <w:semiHidden/>
    <w:rsid w:val="00C05D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D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5DEA"/>
    <w:rPr>
      <w:rFonts w:ascii="Wingdings" w:hAnsi="Wingdings"/>
    </w:rPr>
  </w:style>
  <w:style w:type="paragraph" w:customStyle="1" w:styleId="TableHeading">
    <w:name w:val="Table Heading"/>
    <w:basedOn w:val="HeadingBase"/>
    <w:rsid w:val="00C05D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DEA"/>
    <w:rPr>
      <w:color w:val="0033CC"/>
      <w:u w:val="none"/>
    </w:rPr>
  </w:style>
  <w:style w:type="paragraph" w:customStyle="1" w:styleId="BodyTextRight">
    <w:name w:val="Body Text Right"/>
    <w:basedOn w:val="BodyText"/>
    <w:rsid w:val="00C05D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D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D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D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D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D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DEA"/>
    <w:rPr>
      <w:sz w:val="32"/>
    </w:rPr>
  </w:style>
  <w:style w:type="paragraph" w:customStyle="1" w:styleId="HeadingProcedure">
    <w:name w:val="Heading Procedure"/>
    <w:basedOn w:val="HeadingBase"/>
    <w:next w:val="Normal"/>
    <w:rsid w:val="00C05D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DEA"/>
    <w:pPr>
      <w:spacing w:before="60" w:after="60"/>
    </w:pPr>
  </w:style>
  <w:style w:type="paragraph" w:styleId="ListContinue">
    <w:name w:val="List Continue"/>
    <w:basedOn w:val="List"/>
    <w:rsid w:val="00C05DEA"/>
    <w:pPr>
      <w:ind w:firstLine="0"/>
    </w:pPr>
  </w:style>
  <w:style w:type="paragraph" w:customStyle="1" w:styleId="ListNote">
    <w:name w:val="List Note"/>
    <w:basedOn w:val="List"/>
    <w:rsid w:val="00C05D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D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D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DEA"/>
    <w:rPr>
      <w:rFonts w:ascii="Courier New" w:hAnsi="Courier New"/>
    </w:rPr>
  </w:style>
  <w:style w:type="paragraph" w:customStyle="1" w:styleId="NoteBullet">
    <w:name w:val="Note Bullet"/>
    <w:basedOn w:val="Note"/>
    <w:rsid w:val="00C05D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D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D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D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D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5D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D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DEA"/>
    <w:rPr>
      <w:b/>
      <w:smallCaps/>
    </w:rPr>
  </w:style>
  <w:style w:type="paragraph" w:customStyle="1" w:styleId="TableListNumber">
    <w:name w:val="Table List Number"/>
    <w:basedOn w:val="ListNumber"/>
    <w:rsid w:val="00C05D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D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DEA"/>
    <w:pPr>
      <w:numPr>
        <w:numId w:val="9"/>
      </w:numPr>
    </w:pPr>
  </w:style>
  <w:style w:type="paragraph" w:customStyle="1" w:styleId="ListAlpha2">
    <w:name w:val="List Alpha 2"/>
    <w:basedOn w:val="List2"/>
    <w:rsid w:val="00C05DEA"/>
    <w:pPr>
      <w:numPr>
        <w:numId w:val="8"/>
      </w:numPr>
    </w:pPr>
  </w:style>
  <w:style w:type="paragraph" w:styleId="List2">
    <w:name w:val="List 2"/>
    <w:basedOn w:val="BodyText"/>
    <w:rsid w:val="00C05D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D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D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D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D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D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5DEA"/>
    <w:pPr>
      <w:numPr>
        <w:numId w:val="4"/>
      </w:numPr>
    </w:pPr>
  </w:style>
  <w:style w:type="paragraph" w:styleId="ListContinue2">
    <w:name w:val="List Continue 2"/>
    <w:basedOn w:val="List2"/>
    <w:rsid w:val="00C05DEA"/>
    <w:pPr>
      <w:ind w:firstLine="0"/>
    </w:pPr>
  </w:style>
  <w:style w:type="paragraph" w:styleId="ListContinue3">
    <w:name w:val="List Continue 3"/>
    <w:basedOn w:val="List3"/>
    <w:rsid w:val="00C05DEA"/>
    <w:pPr>
      <w:ind w:left="1021" w:firstLine="0"/>
    </w:pPr>
  </w:style>
  <w:style w:type="paragraph" w:styleId="ListContinue4">
    <w:name w:val="List Continue 4"/>
    <w:basedOn w:val="List4"/>
    <w:rsid w:val="00C05DEA"/>
    <w:pPr>
      <w:ind w:firstLine="0"/>
    </w:pPr>
  </w:style>
  <w:style w:type="paragraph" w:styleId="ListContinue5">
    <w:name w:val="List Continue 5"/>
    <w:basedOn w:val="List5"/>
    <w:rsid w:val="00C05DEA"/>
    <w:pPr>
      <w:ind w:firstLine="0"/>
    </w:pPr>
  </w:style>
  <w:style w:type="paragraph" w:styleId="ListNumber3">
    <w:name w:val="List Number 3"/>
    <w:basedOn w:val="List3"/>
    <w:rsid w:val="00C05DEA"/>
    <w:pPr>
      <w:numPr>
        <w:numId w:val="5"/>
      </w:numPr>
    </w:pPr>
  </w:style>
  <w:style w:type="paragraph" w:styleId="ListNumber4">
    <w:name w:val="List Number 4"/>
    <w:basedOn w:val="List4"/>
    <w:rsid w:val="00C05DEA"/>
    <w:pPr>
      <w:numPr>
        <w:numId w:val="6"/>
      </w:numPr>
    </w:pPr>
  </w:style>
  <w:style w:type="paragraph" w:styleId="ListNumber5">
    <w:name w:val="List Number 5"/>
    <w:basedOn w:val="List5"/>
    <w:rsid w:val="00C05DEA"/>
    <w:pPr>
      <w:numPr>
        <w:numId w:val="7"/>
      </w:numPr>
    </w:pPr>
  </w:style>
  <w:style w:type="paragraph" w:styleId="BlockText">
    <w:name w:val="Block Text"/>
    <w:basedOn w:val="Normal"/>
    <w:rsid w:val="00C05D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D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DEA"/>
    <w:rPr>
      <w:sz w:val="16"/>
      <w:vertAlign w:val="superscript"/>
    </w:rPr>
  </w:style>
  <w:style w:type="character" w:customStyle="1" w:styleId="Symbols">
    <w:name w:val="Symbols"/>
    <w:basedOn w:val="DefaultParagraphFont"/>
    <w:rsid w:val="00C05DEA"/>
    <w:rPr>
      <w:rFonts w:ascii="Symbol" w:hAnsi="Symbol"/>
    </w:rPr>
  </w:style>
  <w:style w:type="character" w:customStyle="1" w:styleId="MenuOptions">
    <w:name w:val="Menu Options"/>
    <w:basedOn w:val="DefaultParagraphFont"/>
    <w:rsid w:val="00C05D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DEA"/>
    <w:rPr>
      <w:b/>
    </w:rPr>
  </w:style>
  <w:style w:type="character" w:customStyle="1" w:styleId="Underlined">
    <w:name w:val="Underlined"/>
    <w:basedOn w:val="DefaultParagraphFont"/>
    <w:rsid w:val="00C05DEA"/>
    <w:rPr>
      <w:u w:val="single"/>
    </w:rPr>
  </w:style>
  <w:style w:type="paragraph" w:customStyle="1" w:styleId="TableBodyTextRight">
    <w:name w:val="Table Body Text Right"/>
    <w:basedOn w:val="TableBodyText"/>
    <w:rsid w:val="00C05D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DEA"/>
    <w:rPr>
      <w:sz w:val="18"/>
    </w:rPr>
  </w:style>
  <w:style w:type="paragraph" w:customStyle="1" w:styleId="BodySmallRight">
    <w:name w:val="Body Small Right"/>
    <w:basedOn w:val="BodyTextRight"/>
    <w:rsid w:val="00C05DEA"/>
    <w:rPr>
      <w:sz w:val="18"/>
      <w:szCs w:val="18"/>
    </w:rPr>
  </w:style>
  <w:style w:type="paragraph" w:customStyle="1" w:styleId="MarginEdition">
    <w:name w:val="Margin Edition"/>
    <w:basedOn w:val="MarginNote"/>
    <w:rsid w:val="00C05D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DEA"/>
    <w:rPr>
      <w:sz w:val="2"/>
      <w:szCs w:val="2"/>
    </w:rPr>
  </w:style>
  <w:style w:type="character" w:customStyle="1" w:styleId="Small">
    <w:name w:val="Small"/>
    <w:basedOn w:val="DefaultParagraphFont"/>
    <w:rsid w:val="00C05DEA"/>
    <w:rPr>
      <w:sz w:val="16"/>
    </w:rPr>
  </w:style>
  <w:style w:type="paragraph" w:customStyle="1" w:styleId="WideTable">
    <w:name w:val="Wide Table"/>
    <w:basedOn w:val="Normal"/>
    <w:rsid w:val="00C05D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DEA"/>
  </w:style>
  <w:style w:type="paragraph" w:styleId="Quote">
    <w:name w:val="Quote"/>
    <w:basedOn w:val="Heading1"/>
    <w:link w:val="QuoteChar"/>
    <w:qFormat/>
    <w:rsid w:val="00C05D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D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DEA"/>
    <w:pPr>
      <w:pageBreakBefore/>
    </w:pPr>
  </w:style>
  <w:style w:type="paragraph" w:customStyle="1" w:styleId="Border">
    <w:name w:val="Border"/>
    <w:basedOn w:val="Normal"/>
    <w:qFormat/>
    <w:rsid w:val="00C05D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D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D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D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D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D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D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D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D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DEA"/>
    <w:rPr>
      <w:u w:val="single"/>
    </w:rPr>
  </w:style>
  <w:style w:type="character" w:customStyle="1" w:styleId="BoldandItalics">
    <w:name w:val="Bold and Italics"/>
    <w:qFormat/>
    <w:rsid w:val="00C05DEA"/>
    <w:rPr>
      <w:b/>
      <w:i/>
      <w:u w:val="none"/>
    </w:rPr>
  </w:style>
  <w:style w:type="paragraph" w:styleId="BalloonText">
    <w:name w:val="Balloon Text"/>
    <w:basedOn w:val="Normal"/>
    <w:link w:val="BalloonTextChar"/>
    <w:rsid w:val="00C05D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D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D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D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D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D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DEA"/>
    <w:pPr>
      <w:spacing w:before="0" w:after="0"/>
    </w:pPr>
  </w:style>
  <w:style w:type="paragraph" w:customStyle="1" w:styleId="BodyTextBold">
    <w:name w:val="Body Text Bold"/>
    <w:basedOn w:val="BodyText"/>
    <w:qFormat/>
    <w:rsid w:val="00C05DEA"/>
    <w:rPr>
      <w:b/>
    </w:rPr>
  </w:style>
  <w:style w:type="character" w:styleId="Hyperlink">
    <w:name w:val="Hyperlink"/>
    <w:basedOn w:val="DefaultParagraphFont"/>
    <w:uiPriority w:val="99"/>
    <w:unhideWhenUsed/>
    <w:rsid w:val="00B35B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2965</Characters>
  <Application>Microsoft Office Word</Application>
  <DocSecurity>0</DocSecurity>
  <Lines>89</Lines>
  <Paragraphs>64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AURJTA002 Remove and replace motorcycle components and accessories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