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79E0" w:rsidP="007279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AURHTD104 Carry out heavy vehicle wheel alignment operations</w:t>
      </w:r>
      <w:r>
        <w:fldChar w:fldCharType="end"/>
      </w:r>
    </w:p>
    <w:p w:rsidR="007279E0" w:rsidP="007279E0">
      <w:pPr>
        <w:pStyle w:val="Version"/>
        <w:sectPr w:rsidSect="003322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2299" w:rsidP="00332299">
      <w:pPr>
        <w:pStyle w:val="SuperHeading"/>
      </w:pPr>
      <w:r w:rsidRPr="00332299">
        <w:t>Assessment Requirements for AURHTD104 Carry out heavy vehicle wheel alignment operations</w:t>
      </w:r>
    </w:p>
    <w:p w:rsidR="00000000" w:rsidRPr="00332299" w:rsidP="00332299">
      <w:pPr>
        <w:pStyle w:val="Heading1"/>
      </w:pPr>
      <w:bookmarkStart w:id="1" w:name="O_1113462"/>
      <w:bookmarkEnd w:id="1"/>
      <w:r w:rsidRPr="003322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32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299" w:rsidP="00332299">
            <w:pPr>
              <w:pStyle w:val="BodyText"/>
            </w:pPr>
            <w:r w:rsidRPr="0033229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299">
            <w:pPr>
              <w:pStyle w:val="BodyText"/>
              <w:rPr>
                <w:lang w:val="en-NZ"/>
              </w:rPr>
            </w:pPr>
            <w:r w:rsidRPr="00332299">
              <w:rPr>
                <w:rStyle w:val="SpecialBold"/>
              </w:rPr>
              <w:t>Comments</w:t>
            </w:r>
          </w:p>
        </w:tc>
      </w:tr>
      <w:tr w:rsidTr="00332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299">
            <w:pPr>
              <w:pStyle w:val="BodyText"/>
              <w:rPr>
                <w:lang w:val="en-NZ"/>
              </w:rPr>
            </w:pPr>
            <w:r w:rsidRPr="0033229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299" w:rsidP="00332299">
            <w:pPr>
              <w:pStyle w:val="BodyText"/>
            </w:pPr>
            <w:r w:rsidRPr="00332299">
              <w:t>This version first released with AUR Automotive Retail, Serv</w:t>
            </w:r>
            <w:r w:rsidRPr="00332299">
              <w:t>ice and Repair Training Package Version 6.0</w:t>
            </w:r>
          </w:p>
        </w:tc>
      </w:tr>
    </w:tbl>
    <w:p w:rsidR="00000000" w:rsidRPr="00332299" w:rsidP="00332299">
      <w:pPr>
        <w:pStyle w:val="BodyText"/>
      </w:pPr>
    </w:p>
    <w:p w:rsidR="00000000" w:rsidRPr="00332299" w:rsidP="00332299">
      <w:pPr>
        <w:pStyle w:val="AllowPageBreak"/>
      </w:pPr>
    </w:p>
    <w:p w:rsidR="00000000" w:rsidRPr="00332299" w:rsidP="00332299">
      <w:pPr>
        <w:pStyle w:val="Heading1"/>
      </w:pPr>
      <w:bookmarkStart w:id="2" w:name="O_1113465"/>
      <w:bookmarkEnd w:id="2"/>
      <w:r w:rsidRPr="00332299">
        <w:t>Performance Evidence</w:t>
      </w:r>
    </w:p>
    <w:p w:rsidR="00000000" w:rsidRPr="00332299" w:rsidP="007279E0">
      <w:pPr>
        <w:pStyle w:val="BodyText"/>
      </w:pPr>
      <w:r w:rsidRPr="00332299">
        <w:t xml:space="preserve">The candidate must demonstrate the ability to complete the tasks outlined in the elements, performance criteria and foundation skills of this unit, including evidence of </w:t>
      </w:r>
      <w:r w:rsidRPr="00332299">
        <w:t>the ability to:</w:t>
      </w:r>
    </w:p>
    <w:p w:rsidR="00000000" w:rsidRPr="00332299" w:rsidP="00332299">
      <w:pPr>
        <w:pStyle w:val="ListBullet"/>
      </w:pPr>
      <w:r w:rsidRPr="00332299">
        <w:t>align wheels on all steerable axles of at least three different heavy vehicles.</w:t>
      </w:r>
    </w:p>
    <w:p w:rsidR="00000000" w:rsidRPr="00332299" w:rsidP="00332299">
      <w:pPr>
        <w:pStyle w:val="List"/>
      </w:pPr>
    </w:p>
    <w:p w:rsidR="00000000" w:rsidRPr="00332299" w:rsidP="007279E0">
      <w:pPr>
        <w:pStyle w:val="BodyText"/>
      </w:pPr>
      <w:r w:rsidRPr="00332299">
        <w:t>In the course of the above, the candidate must measure each of the following steering angles, and make adjustments where required by job specifications:</w:t>
      </w:r>
    </w:p>
    <w:p w:rsidR="00000000" w:rsidRPr="00332299" w:rsidP="00332299">
      <w:pPr>
        <w:pStyle w:val="ListBullet"/>
      </w:pPr>
      <w:r w:rsidRPr="00332299">
        <w:t>camber</w:t>
      </w:r>
    </w:p>
    <w:p w:rsidR="00000000" w:rsidRPr="00332299" w:rsidP="00332299">
      <w:pPr>
        <w:pStyle w:val="ListBullet"/>
      </w:pPr>
      <w:r w:rsidRPr="00332299">
        <w:t>caster</w:t>
      </w:r>
    </w:p>
    <w:p w:rsidR="00000000" w:rsidRPr="00332299" w:rsidP="00332299">
      <w:pPr>
        <w:pStyle w:val="ListBullet"/>
      </w:pPr>
      <w:r w:rsidRPr="00332299">
        <w:t>king pin inclination (KPI)</w:t>
      </w:r>
    </w:p>
    <w:p w:rsidR="00000000" w:rsidRPr="00332299" w:rsidP="00332299">
      <w:pPr>
        <w:pStyle w:val="ListBullet"/>
      </w:pPr>
      <w:r w:rsidRPr="00332299">
        <w:t xml:space="preserve">toe (toe-in and toe-out) </w:t>
      </w:r>
    </w:p>
    <w:p w:rsidR="00000000" w:rsidRPr="00332299" w:rsidP="00332299">
      <w:pPr>
        <w:pStyle w:val="ListBullet"/>
      </w:pPr>
      <w:r w:rsidRPr="00332299">
        <w:t>toe-out on turns.</w:t>
      </w:r>
    </w:p>
    <w:p w:rsidR="00000000" w:rsidRPr="00332299" w:rsidP="00332299">
      <w:pPr>
        <w:pStyle w:val="AllowPageBreak"/>
      </w:pPr>
    </w:p>
    <w:p w:rsidR="00000000" w:rsidRPr="00332299" w:rsidP="00332299">
      <w:pPr>
        <w:pStyle w:val="Heading1"/>
      </w:pPr>
      <w:bookmarkStart w:id="3" w:name="O_1113464"/>
      <w:bookmarkEnd w:id="3"/>
      <w:r w:rsidRPr="00332299">
        <w:t>Knowledge Evidence</w:t>
      </w:r>
    </w:p>
    <w:p w:rsidR="00000000" w:rsidRPr="00332299" w:rsidP="007279E0">
      <w:pPr>
        <w:pStyle w:val="BodyText"/>
      </w:pPr>
      <w:r w:rsidRPr="00332299">
        <w:t>The candidate must be able to demonstrate knowledge to complete the tasks outlined in the elements, performance criteria and foundati</w:t>
      </w:r>
      <w:r w:rsidRPr="00332299">
        <w:t>on skills of this unit, including knowledge of:</w:t>
      </w:r>
    </w:p>
    <w:p w:rsidR="00000000" w:rsidRPr="00332299" w:rsidP="00332299">
      <w:pPr>
        <w:pStyle w:val="ListBullet"/>
      </w:pPr>
      <w:r w:rsidRPr="00332299">
        <w:t>methods to locate and interpret information required to carry out heavy vehicle wheel alignment, including:</w:t>
      </w:r>
    </w:p>
    <w:p w:rsidR="00000000" w:rsidRPr="00332299" w:rsidP="00332299">
      <w:pPr>
        <w:pStyle w:val="ListBullet2"/>
      </w:pPr>
      <w:r w:rsidRPr="00332299">
        <w:t xml:space="preserve">manufacturer specifications and procedures </w:t>
      </w:r>
    </w:p>
    <w:p w:rsidR="00000000" w:rsidRPr="00332299" w:rsidP="00332299">
      <w:pPr>
        <w:pStyle w:val="ListBullet"/>
      </w:pPr>
      <w:r w:rsidRPr="00332299">
        <w:t>workplace procedures required to carry out heavy vehi</w:t>
      </w:r>
      <w:r w:rsidRPr="00332299">
        <w:t>cle wheel alignment, including:</w:t>
      </w:r>
    </w:p>
    <w:p w:rsidR="00000000" w:rsidRPr="00332299" w:rsidP="00332299">
      <w:pPr>
        <w:pStyle w:val="ListBullet2"/>
      </w:pPr>
      <w:r w:rsidRPr="00332299">
        <w:t>establishing serviceability of tools and equipment</w:t>
      </w:r>
    </w:p>
    <w:p w:rsidR="00000000" w:rsidRPr="00332299" w:rsidP="00332299">
      <w:pPr>
        <w:pStyle w:val="ListBullet2"/>
      </w:pPr>
      <w:r w:rsidRPr="00332299">
        <w:t>pre and post wheel alignment procedures</w:t>
      </w:r>
    </w:p>
    <w:p w:rsidR="00000000" w:rsidRPr="00332299" w:rsidP="00332299">
      <w:pPr>
        <w:pStyle w:val="ListBullet2"/>
      </w:pPr>
      <w:r w:rsidRPr="00332299">
        <w:t>documentation procedures</w:t>
      </w:r>
    </w:p>
    <w:p w:rsidR="00000000" w:rsidRPr="00332299" w:rsidP="00332299">
      <w:pPr>
        <w:pStyle w:val="ListBullet2"/>
      </w:pPr>
      <w:r w:rsidRPr="00332299">
        <w:t>housekeeping procedures, including:</w:t>
      </w:r>
    </w:p>
    <w:p w:rsidR="00000000" w:rsidRPr="00332299" w:rsidP="00332299">
      <w:pPr>
        <w:pStyle w:val="ListBullet3"/>
      </w:pPr>
      <w:r w:rsidRPr="00332299">
        <w:t>examination of tools and equipment</w:t>
      </w:r>
    </w:p>
    <w:p w:rsidR="00000000" w:rsidRPr="00332299" w:rsidP="00332299">
      <w:pPr>
        <w:pStyle w:val="ListBullet3"/>
      </w:pPr>
      <w:r w:rsidRPr="00332299">
        <w:t>storage of equipment</w:t>
      </w:r>
    </w:p>
    <w:p w:rsidR="00000000" w:rsidRPr="00332299" w:rsidP="00332299">
      <w:pPr>
        <w:pStyle w:val="ListBullet3"/>
      </w:pPr>
      <w:r w:rsidRPr="00332299">
        <w:t>identification, tagging and isolation of faulty equipment</w:t>
      </w:r>
    </w:p>
    <w:p w:rsidR="00000000" w:rsidRPr="00332299" w:rsidP="00332299">
      <w:pPr>
        <w:pStyle w:val="ListBullet3"/>
      </w:pPr>
      <w:r w:rsidRPr="00332299">
        <w:t>disposal of excess materials</w:t>
      </w:r>
    </w:p>
    <w:p w:rsidR="00000000" w:rsidRPr="00332299" w:rsidP="00332299">
      <w:pPr>
        <w:pStyle w:val="ListBullet3"/>
      </w:pPr>
      <w:r w:rsidRPr="00332299">
        <w:t>recycling procedures</w:t>
      </w:r>
    </w:p>
    <w:p w:rsidR="00000000" w:rsidRPr="00332299" w:rsidP="00332299">
      <w:pPr>
        <w:pStyle w:val="ListBullet"/>
      </w:pPr>
      <w:r w:rsidRPr="00332299">
        <w:t>workplace health and safety (WHS) requirements relating to heavy vehicle wheel alignment operations, including:</w:t>
      </w:r>
    </w:p>
    <w:p w:rsidR="00000000" w:rsidRPr="00332299" w:rsidP="00332299">
      <w:pPr>
        <w:pStyle w:val="ListBullet2"/>
      </w:pPr>
      <w:r w:rsidRPr="00332299">
        <w:t>procedures for raising and supporting heavy vehicles or machinery</w:t>
      </w:r>
    </w:p>
    <w:p w:rsidR="00000000" w:rsidRPr="00332299" w:rsidP="00332299">
      <w:pPr>
        <w:pStyle w:val="ListBullet"/>
      </w:pPr>
      <w:r w:rsidRPr="00332299">
        <w:t>steering geometry and wheel alignment angles, including:</w:t>
      </w:r>
    </w:p>
    <w:p w:rsidR="00000000" w:rsidRPr="00332299" w:rsidP="00332299">
      <w:pPr>
        <w:pStyle w:val="ListBullet2"/>
      </w:pPr>
      <w:r w:rsidRPr="00332299">
        <w:t>Ackermann principle of steering</w:t>
      </w:r>
    </w:p>
    <w:p w:rsidR="00000000" w:rsidRPr="00332299" w:rsidP="00332299">
      <w:pPr>
        <w:pStyle w:val="ListBullet2"/>
      </w:pPr>
      <w:r w:rsidRPr="00332299">
        <w:t>camber</w:t>
      </w:r>
    </w:p>
    <w:p w:rsidR="00000000" w:rsidRPr="00332299" w:rsidP="00332299">
      <w:pPr>
        <w:pStyle w:val="ListBullet2"/>
      </w:pPr>
      <w:r w:rsidRPr="00332299">
        <w:t>caster</w:t>
      </w:r>
    </w:p>
    <w:p w:rsidR="00000000" w:rsidRPr="00332299" w:rsidP="00332299">
      <w:pPr>
        <w:pStyle w:val="ListBullet2"/>
      </w:pPr>
      <w:r w:rsidRPr="00332299">
        <w:t>KPI</w:t>
      </w:r>
    </w:p>
    <w:p w:rsidR="00000000" w:rsidRPr="00332299" w:rsidP="00332299">
      <w:pPr>
        <w:pStyle w:val="ListBullet2"/>
      </w:pPr>
      <w:r w:rsidRPr="00332299">
        <w:t>toe-in and toe-out</w:t>
      </w:r>
    </w:p>
    <w:p w:rsidR="00000000" w:rsidRPr="00332299" w:rsidP="00332299">
      <w:pPr>
        <w:pStyle w:val="ListBullet2"/>
      </w:pPr>
      <w:r w:rsidRPr="00332299">
        <w:t>toe-out on turns</w:t>
      </w:r>
    </w:p>
    <w:p w:rsidR="00000000" w:rsidRPr="00332299" w:rsidP="00332299">
      <w:pPr>
        <w:pStyle w:val="ListBullet2"/>
      </w:pPr>
      <w:r w:rsidRPr="00332299">
        <w:t>steering axis inclination</w:t>
      </w:r>
    </w:p>
    <w:p w:rsidR="00000000" w:rsidRPr="00332299" w:rsidP="00332299">
      <w:pPr>
        <w:pStyle w:val="ListBullet2"/>
      </w:pPr>
      <w:r w:rsidRPr="00332299">
        <w:t>two wheel and twin four wheel steer</w:t>
      </w:r>
    </w:p>
    <w:p w:rsidR="00000000" w:rsidRPr="00332299" w:rsidP="00332299">
      <w:pPr>
        <w:pStyle w:val="ListBullet"/>
      </w:pPr>
      <w:r w:rsidRPr="00332299">
        <w:t>vehicle pre-alignment inspection procedures, including:</w:t>
      </w:r>
    </w:p>
    <w:p w:rsidR="00000000" w:rsidRPr="00332299" w:rsidP="00332299">
      <w:pPr>
        <w:pStyle w:val="ListBullet2"/>
      </w:pPr>
      <w:r w:rsidRPr="00332299">
        <w:t>analysing tyre wear</w:t>
      </w:r>
    </w:p>
    <w:p w:rsidR="00000000" w:rsidRPr="00332299" w:rsidP="00332299">
      <w:pPr>
        <w:pStyle w:val="ListBullet2"/>
      </w:pPr>
      <w:r w:rsidRPr="00332299">
        <w:t>inflating tyre</w:t>
      </w:r>
    </w:p>
    <w:p w:rsidR="00000000" w:rsidRPr="00332299" w:rsidP="00332299">
      <w:pPr>
        <w:pStyle w:val="ListBullet2"/>
      </w:pPr>
      <w:r w:rsidRPr="00332299">
        <w:t>adjusting wheel bearing</w:t>
      </w:r>
    </w:p>
    <w:p w:rsidR="00000000" w:rsidRPr="00332299" w:rsidP="00332299">
      <w:pPr>
        <w:pStyle w:val="ListBullet2"/>
      </w:pPr>
      <w:r w:rsidRPr="00332299">
        <w:t>inspecting steering and suspension</w:t>
      </w:r>
    </w:p>
    <w:p w:rsidR="00000000" w:rsidRPr="00332299" w:rsidP="00332299">
      <w:pPr>
        <w:pStyle w:val="ListBullet2"/>
      </w:pPr>
      <w:r w:rsidRPr="00332299">
        <w:t>determining wheel run-out</w:t>
      </w:r>
    </w:p>
    <w:p w:rsidR="00000000" w:rsidRPr="00332299" w:rsidP="00332299">
      <w:pPr>
        <w:pStyle w:val="ListBullet2"/>
      </w:pPr>
      <w:r w:rsidRPr="00332299">
        <w:t>determining vehicle height</w:t>
      </w:r>
    </w:p>
    <w:p w:rsidR="00000000" w:rsidRPr="00332299" w:rsidP="00332299">
      <w:pPr>
        <w:pStyle w:val="ListBullet2"/>
      </w:pPr>
      <w:r w:rsidRPr="00332299">
        <w:t>checking chassi</w:t>
      </w:r>
      <w:r w:rsidRPr="00332299">
        <w:t>s and axle alignment</w:t>
      </w:r>
    </w:p>
    <w:p w:rsidR="00000000" w:rsidRPr="00332299" w:rsidP="00332299">
      <w:pPr>
        <w:pStyle w:val="ListBullet"/>
      </w:pPr>
      <w:r w:rsidRPr="00332299">
        <w:t>types and operation of wheel alignment systems, including:</w:t>
      </w:r>
    </w:p>
    <w:p w:rsidR="00000000" w:rsidRPr="00332299" w:rsidP="00332299">
      <w:pPr>
        <w:pStyle w:val="ListBullet2"/>
      </w:pPr>
      <w:r w:rsidRPr="00332299">
        <w:t>laser aligners</w:t>
      </w:r>
    </w:p>
    <w:p w:rsidR="00000000" w:rsidRPr="00332299" w:rsidP="00332299">
      <w:pPr>
        <w:pStyle w:val="ListBullet2"/>
      </w:pPr>
      <w:r w:rsidRPr="00332299">
        <w:t>visual aligners</w:t>
      </w:r>
    </w:p>
    <w:p w:rsidR="00000000" w:rsidRPr="00332299" w:rsidP="00332299">
      <w:pPr>
        <w:pStyle w:val="ListBullet2"/>
      </w:pPr>
      <w:r w:rsidRPr="00332299">
        <w:t>camera aligners</w:t>
      </w:r>
    </w:p>
    <w:p w:rsidR="00000000" w:rsidRPr="00332299" w:rsidP="00332299">
      <w:pPr>
        <w:pStyle w:val="ListBullet"/>
      </w:pPr>
      <w:r w:rsidRPr="00332299">
        <w:t>procedures for measuring and adjusting steering angles, including:</w:t>
      </w:r>
    </w:p>
    <w:p w:rsidR="00000000" w:rsidRPr="00332299" w:rsidP="00332299">
      <w:pPr>
        <w:pStyle w:val="ListBullet2"/>
      </w:pPr>
      <w:r w:rsidRPr="00332299">
        <w:t>camber</w:t>
      </w:r>
    </w:p>
    <w:p w:rsidR="00000000" w:rsidRPr="00332299" w:rsidP="00332299">
      <w:pPr>
        <w:pStyle w:val="ListBullet2"/>
      </w:pPr>
      <w:r w:rsidRPr="00332299">
        <w:t>caster</w:t>
      </w:r>
    </w:p>
    <w:p w:rsidR="00000000" w:rsidRPr="00332299" w:rsidP="00332299">
      <w:pPr>
        <w:pStyle w:val="ListBullet2"/>
      </w:pPr>
      <w:r w:rsidRPr="00332299">
        <w:t>toe-in and toe-out</w:t>
      </w:r>
    </w:p>
    <w:p w:rsidR="00000000" w:rsidRPr="00332299" w:rsidP="00332299">
      <w:pPr>
        <w:pStyle w:val="ListBullet2"/>
      </w:pPr>
      <w:r w:rsidRPr="00332299">
        <w:t xml:space="preserve">toe-out on turns </w:t>
      </w:r>
    </w:p>
    <w:p w:rsidR="00000000" w:rsidRPr="00332299" w:rsidP="00332299">
      <w:pPr>
        <w:pStyle w:val="ListBullet"/>
      </w:pPr>
      <w:r w:rsidRPr="00332299">
        <w:t>post-wheel alignment testing procedures for heavy vehicles.</w:t>
      </w:r>
    </w:p>
    <w:p w:rsidR="00000000" w:rsidRPr="00332299" w:rsidP="00332299">
      <w:pPr>
        <w:pStyle w:val="AllowPageBreak"/>
      </w:pPr>
    </w:p>
    <w:p w:rsidR="00000000" w:rsidRPr="00332299" w:rsidP="00332299">
      <w:pPr>
        <w:pStyle w:val="Heading1"/>
      </w:pPr>
      <w:bookmarkStart w:id="4" w:name="O_1113463"/>
      <w:bookmarkEnd w:id="4"/>
      <w:r w:rsidRPr="00332299">
        <w:t>Assessment Conditions</w:t>
      </w:r>
    </w:p>
    <w:p w:rsidR="00000000" w:rsidRPr="00332299" w:rsidP="007279E0">
      <w:pPr>
        <w:pStyle w:val="BodyText"/>
      </w:pPr>
      <w:r w:rsidRPr="00332299">
        <w:t>Competency is to be assessed in the workplace or a simulated environment that accurately reflects performance in a real workplace setting.</w:t>
      </w:r>
    </w:p>
    <w:p w:rsidR="00000000" w:rsidRPr="00332299" w:rsidP="007279E0">
      <w:pPr>
        <w:pStyle w:val="BodyText"/>
      </w:pPr>
      <w:r w:rsidRPr="00332299">
        <w:t xml:space="preserve">Assessment must </w:t>
      </w:r>
      <w:r w:rsidRPr="00332299">
        <w:t>include direct observation of tasks.</w:t>
      </w:r>
    </w:p>
    <w:p w:rsidR="00000000" w:rsidRPr="00332299" w:rsidP="007279E0">
      <w:pPr>
        <w:pStyle w:val="BodyText"/>
      </w:pPr>
      <w:r w:rsidRPr="00332299">
        <w:t>Where assessment of competency includes third-party evidence, individuals must provide evidence that links them to the heavy vehicle wheel alignments that they have carried out, e.g. repair orders.</w:t>
      </w:r>
    </w:p>
    <w:p w:rsidR="00000000" w:rsidRPr="00332299" w:rsidP="007279E0">
      <w:pPr>
        <w:pStyle w:val="BodyText"/>
      </w:pPr>
      <w:r w:rsidRPr="00332299">
        <w:t>Assessors must verify performance evidence through questioning on skills and knowledge to ensure correct interpretation and application.</w:t>
      </w:r>
    </w:p>
    <w:p w:rsidR="00000000" w:rsidRPr="00332299" w:rsidP="007279E0">
      <w:pPr>
        <w:pStyle w:val="BodyText"/>
      </w:pPr>
      <w:r w:rsidRPr="00332299">
        <w:t>The following resources must be made available:</w:t>
      </w:r>
    </w:p>
    <w:p w:rsidR="00000000" w:rsidRPr="00332299" w:rsidP="00332299">
      <w:pPr>
        <w:pStyle w:val="ListBullet"/>
      </w:pPr>
      <w:r w:rsidRPr="00332299">
        <w:t>automotive repair workplace or simulated workplace</w:t>
      </w:r>
    </w:p>
    <w:p w:rsidR="00000000" w:rsidRPr="00332299" w:rsidP="00332299">
      <w:pPr>
        <w:pStyle w:val="ListBullet"/>
      </w:pPr>
      <w:r w:rsidRPr="00332299">
        <w:t>workplace instructi</w:t>
      </w:r>
      <w:r w:rsidRPr="00332299">
        <w:t>ons</w:t>
      </w:r>
    </w:p>
    <w:p w:rsidR="00000000" w:rsidRPr="00332299" w:rsidP="00332299">
      <w:pPr>
        <w:pStyle w:val="ListBullet"/>
      </w:pPr>
      <w:r w:rsidRPr="00332299">
        <w:t>manufacturer wheel alignment specifications</w:t>
      </w:r>
    </w:p>
    <w:p w:rsidR="00000000" w:rsidRPr="00332299" w:rsidP="00332299">
      <w:pPr>
        <w:pStyle w:val="ListBullet"/>
      </w:pPr>
      <w:r w:rsidRPr="00332299">
        <w:t>three different heavy vehicles requiring wheel alignment</w:t>
      </w:r>
    </w:p>
    <w:p w:rsidR="00000000" w:rsidRPr="00332299" w:rsidP="00332299">
      <w:pPr>
        <w:pStyle w:val="ListBullet"/>
      </w:pPr>
      <w:r w:rsidRPr="00332299">
        <w:t>wheel alignment equipment for heavy vehicles</w:t>
      </w:r>
    </w:p>
    <w:p w:rsidR="00000000" w:rsidRPr="00332299" w:rsidP="00332299">
      <w:pPr>
        <w:pStyle w:val="ListBullet"/>
      </w:pPr>
      <w:r w:rsidRPr="00332299">
        <w:t>tools, equipment and materials appropriate for carrying out wheel alignment operations on heavy vehicles.</w:t>
      </w:r>
    </w:p>
    <w:p w:rsidR="00000000" w:rsidRPr="00332299" w:rsidP="00332299">
      <w:pPr>
        <w:pStyle w:val="List"/>
      </w:pPr>
    </w:p>
    <w:p w:rsidR="00000000" w:rsidRPr="00332299" w:rsidP="007279E0">
      <w:pPr>
        <w:pStyle w:val="BodyText"/>
      </w:pPr>
      <w:r w:rsidRPr="00332299">
        <w:t>Assessors of this unit must satisfy the requirements for assessors in applicable vocational education and training legislation, frameworks and/or standards.</w:t>
      </w:r>
    </w:p>
    <w:p w:rsidR="00000000" w:rsidRPr="00332299" w:rsidP="00332299">
      <w:pPr>
        <w:pStyle w:val="Heading1"/>
      </w:pPr>
      <w:bookmarkStart w:id="5" w:name="O_1113461"/>
      <w:bookmarkEnd w:id="5"/>
      <w:r w:rsidRPr="00332299">
        <w:t>Links</w:t>
      </w:r>
    </w:p>
    <w:p w:rsidR="00000000" w:rsidRPr="00332299" w:rsidP="007279E0">
      <w:pPr>
        <w:pStyle w:val="BodyText"/>
      </w:pPr>
      <w:r w:rsidRPr="0033229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7501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32299" w:rsidP="00332299"/>
    <w:sectPr w:rsidSect="003322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2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299" w:rsidRPr="007279E0" w:rsidP="007279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2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9E0" w:rsidP="003322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79E0" w:rsidP="003322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279E0" w:rsidP="003322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2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9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2299" w:rsidRPr="007279E0" w:rsidP="007279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2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9E0" w:rsidRPr="002D2AF8" w:rsidP="003322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AURHTD104 Carry out heavy vehicle wheel alignment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279E0" w:rsidP="003322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02AF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06D0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AC83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2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22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22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22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22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22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22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22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22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22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22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2299"/>
  </w:style>
  <w:style w:type="character" w:customStyle="1" w:styleId="Heading1Char">
    <w:name w:val="Heading 1 Char"/>
    <w:basedOn w:val="DefaultParagraphFont"/>
    <w:link w:val="Heading1"/>
    <w:rsid w:val="003322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22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22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322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229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2299"/>
    <w:rPr>
      <w:b/>
      <w:spacing w:val="0"/>
    </w:rPr>
  </w:style>
  <w:style w:type="paragraph" w:styleId="ListBullet2">
    <w:name w:val="List Bullet 2"/>
    <w:basedOn w:val="List2"/>
    <w:rsid w:val="0033229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22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22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3229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322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22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22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22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22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22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22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22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22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22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22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22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22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22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22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22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22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22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322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22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22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22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22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22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22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22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22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22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22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22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22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2299"/>
    <w:rPr>
      <w:i/>
    </w:rPr>
  </w:style>
  <w:style w:type="paragraph" w:styleId="Caption">
    <w:name w:val="caption"/>
    <w:basedOn w:val="BodyText"/>
    <w:next w:val="Normal"/>
    <w:qFormat/>
    <w:rsid w:val="003322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22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22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2299"/>
  </w:style>
  <w:style w:type="paragraph" w:styleId="TableofFigures">
    <w:name w:val="table of figures"/>
    <w:basedOn w:val="Normal"/>
    <w:next w:val="Normal"/>
    <w:semiHidden/>
    <w:rsid w:val="003322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229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32299"/>
    <w:rPr>
      <w:rFonts w:ascii="Wingdings" w:hAnsi="Wingdings"/>
    </w:rPr>
  </w:style>
  <w:style w:type="paragraph" w:customStyle="1" w:styleId="TableHeading">
    <w:name w:val="Table Heading"/>
    <w:basedOn w:val="HeadingBase"/>
    <w:rsid w:val="003322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2299"/>
    <w:rPr>
      <w:color w:val="0033CC"/>
      <w:u w:val="none"/>
    </w:rPr>
  </w:style>
  <w:style w:type="paragraph" w:customStyle="1" w:styleId="BodyTextRight">
    <w:name w:val="Body Text Right"/>
    <w:basedOn w:val="BodyText"/>
    <w:rsid w:val="003322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22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229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22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22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22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2299"/>
    <w:rPr>
      <w:sz w:val="32"/>
    </w:rPr>
  </w:style>
  <w:style w:type="paragraph" w:customStyle="1" w:styleId="HeadingProcedure">
    <w:name w:val="Heading Procedure"/>
    <w:basedOn w:val="HeadingBase"/>
    <w:next w:val="Normal"/>
    <w:rsid w:val="003322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2299"/>
    <w:pPr>
      <w:spacing w:before="60" w:after="60"/>
    </w:pPr>
  </w:style>
  <w:style w:type="paragraph" w:styleId="ListContinue">
    <w:name w:val="List Continue"/>
    <w:basedOn w:val="List"/>
    <w:rsid w:val="00332299"/>
    <w:pPr>
      <w:ind w:firstLine="0"/>
    </w:pPr>
  </w:style>
  <w:style w:type="paragraph" w:customStyle="1" w:styleId="ListNote">
    <w:name w:val="List Note"/>
    <w:basedOn w:val="List"/>
    <w:rsid w:val="003322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22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22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2299"/>
    <w:rPr>
      <w:rFonts w:ascii="Courier New" w:hAnsi="Courier New"/>
    </w:rPr>
  </w:style>
  <w:style w:type="paragraph" w:customStyle="1" w:styleId="NoteBullet">
    <w:name w:val="Note Bullet"/>
    <w:basedOn w:val="Note"/>
    <w:rsid w:val="003322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22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22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22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229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322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22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2299"/>
    <w:rPr>
      <w:b/>
      <w:smallCaps/>
    </w:rPr>
  </w:style>
  <w:style w:type="paragraph" w:customStyle="1" w:styleId="TableListNumber">
    <w:name w:val="Table List Number"/>
    <w:basedOn w:val="ListNumber"/>
    <w:rsid w:val="003322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22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2299"/>
    <w:pPr>
      <w:numPr>
        <w:numId w:val="10"/>
      </w:numPr>
    </w:pPr>
  </w:style>
  <w:style w:type="paragraph" w:customStyle="1" w:styleId="ListAlpha2">
    <w:name w:val="List Alpha 2"/>
    <w:basedOn w:val="List2"/>
    <w:rsid w:val="00332299"/>
    <w:pPr>
      <w:numPr>
        <w:numId w:val="9"/>
      </w:numPr>
    </w:pPr>
  </w:style>
  <w:style w:type="paragraph" w:styleId="List2">
    <w:name w:val="List 2"/>
    <w:basedOn w:val="BodyText"/>
    <w:rsid w:val="003322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22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22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229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3229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32299"/>
    <w:pPr>
      <w:numPr>
        <w:numId w:val="5"/>
      </w:numPr>
    </w:pPr>
  </w:style>
  <w:style w:type="paragraph" w:styleId="ListContinue2">
    <w:name w:val="List Continue 2"/>
    <w:basedOn w:val="List2"/>
    <w:rsid w:val="00332299"/>
    <w:pPr>
      <w:ind w:firstLine="0"/>
    </w:pPr>
  </w:style>
  <w:style w:type="paragraph" w:styleId="ListContinue3">
    <w:name w:val="List Continue 3"/>
    <w:basedOn w:val="List3"/>
    <w:rsid w:val="00332299"/>
    <w:pPr>
      <w:ind w:left="1021" w:firstLine="0"/>
    </w:pPr>
  </w:style>
  <w:style w:type="paragraph" w:styleId="ListContinue4">
    <w:name w:val="List Continue 4"/>
    <w:basedOn w:val="List4"/>
    <w:rsid w:val="00332299"/>
    <w:pPr>
      <w:ind w:firstLine="0"/>
    </w:pPr>
  </w:style>
  <w:style w:type="paragraph" w:styleId="ListContinue5">
    <w:name w:val="List Continue 5"/>
    <w:basedOn w:val="List5"/>
    <w:rsid w:val="00332299"/>
    <w:pPr>
      <w:ind w:firstLine="0"/>
    </w:pPr>
  </w:style>
  <w:style w:type="paragraph" w:styleId="ListNumber3">
    <w:name w:val="List Number 3"/>
    <w:basedOn w:val="List3"/>
    <w:rsid w:val="00332299"/>
    <w:pPr>
      <w:numPr>
        <w:numId w:val="6"/>
      </w:numPr>
    </w:pPr>
  </w:style>
  <w:style w:type="paragraph" w:styleId="ListNumber4">
    <w:name w:val="List Number 4"/>
    <w:basedOn w:val="List4"/>
    <w:rsid w:val="00332299"/>
    <w:pPr>
      <w:numPr>
        <w:numId w:val="7"/>
      </w:numPr>
    </w:pPr>
  </w:style>
  <w:style w:type="paragraph" w:styleId="ListNumber5">
    <w:name w:val="List Number 5"/>
    <w:basedOn w:val="List5"/>
    <w:rsid w:val="00332299"/>
    <w:pPr>
      <w:numPr>
        <w:numId w:val="8"/>
      </w:numPr>
    </w:pPr>
  </w:style>
  <w:style w:type="paragraph" w:styleId="BlockText">
    <w:name w:val="Block Text"/>
    <w:basedOn w:val="Normal"/>
    <w:rsid w:val="003322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22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2299"/>
    <w:rPr>
      <w:sz w:val="16"/>
      <w:vertAlign w:val="superscript"/>
    </w:rPr>
  </w:style>
  <w:style w:type="character" w:customStyle="1" w:styleId="Symbols">
    <w:name w:val="Symbols"/>
    <w:basedOn w:val="DefaultParagraphFont"/>
    <w:rsid w:val="00332299"/>
    <w:rPr>
      <w:rFonts w:ascii="Symbol" w:hAnsi="Symbol"/>
    </w:rPr>
  </w:style>
  <w:style w:type="character" w:customStyle="1" w:styleId="MenuOptions">
    <w:name w:val="Menu Options"/>
    <w:basedOn w:val="DefaultParagraphFont"/>
    <w:rsid w:val="003322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2299"/>
    <w:rPr>
      <w:b/>
    </w:rPr>
  </w:style>
  <w:style w:type="character" w:customStyle="1" w:styleId="Underlined">
    <w:name w:val="Underlined"/>
    <w:basedOn w:val="DefaultParagraphFont"/>
    <w:rsid w:val="00332299"/>
    <w:rPr>
      <w:u w:val="single"/>
    </w:rPr>
  </w:style>
  <w:style w:type="paragraph" w:customStyle="1" w:styleId="TableBodyTextRight">
    <w:name w:val="Table Body Text Right"/>
    <w:basedOn w:val="TableBodyText"/>
    <w:rsid w:val="003322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2299"/>
    <w:rPr>
      <w:sz w:val="18"/>
    </w:rPr>
  </w:style>
  <w:style w:type="paragraph" w:customStyle="1" w:styleId="BodySmallRight">
    <w:name w:val="Body Small Right"/>
    <w:basedOn w:val="BodyTextRight"/>
    <w:rsid w:val="00332299"/>
    <w:rPr>
      <w:sz w:val="18"/>
      <w:szCs w:val="18"/>
    </w:rPr>
  </w:style>
  <w:style w:type="paragraph" w:customStyle="1" w:styleId="MarginEdition">
    <w:name w:val="Margin Edition"/>
    <w:basedOn w:val="MarginNote"/>
    <w:rsid w:val="003322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2299"/>
    <w:rPr>
      <w:sz w:val="2"/>
      <w:szCs w:val="2"/>
    </w:rPr>
  </w:style>
  <w:style w:type="character" w:customStyle="1" w:styleId="Small">
    <w:name w:val="Small"/>
    <w:basedOn w:val="DefaultParagraphFont"/>
    <w:rsid w:val="00332299"/>
    <w:rPr>
      <w:sz w:val="16"/>
    </w:rPr>
  </w:style>
  <w:style w:type="paragraph" w:customStyle="1" w:styleId="WideTable">
    <w:name w:val="Wide Table"/>
    <w:basedOn w:val="Normal"/>
    <w:rsid w:val="003322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2299"/>
  </w:style>
  <w:style w:type="paragraph" w:styleId="Quote">
    <w:name w:val="Quote"/>
    <w:basedOn w:val="Heading1"/>
    <w:link w:val="QuoteChar"/>
    <w:qFormat/>
    <w:rsid w:val="003322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22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2299"/>
    <w:pPr>
      <w:pageBreakBefore/>
    </w:pPr>
  </w:style>
  <w:style w:type="paragraph" w:customStyle="1" w:styleId="Border">
    <w:name w:val="Border"/>
    <w:basedOn w:val="Normal"/>
    <w:qFormat/>
    <w:rsid w:val="003322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22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2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2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22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22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22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22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22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2299"/>
    <w:rPr>
      <w:u w:val="single"/>
    </w:rPr>
  </w:style>
  <w:style w:type="character" w:customStyle="1" w:styleId="BoldandItalics">
    <w:name w:val="Bold and Italics"/>
    <w:qFormat/>
    <w:rsid w:val="00332299"/>
    <w:rPr>
      <w:b/>
      <w:i/>
      <w:u w:val="none"/>
    </w:rPr>
  </w:style>
  <w:style w:type="paragraph" w:styleId="BalloonText">
    <w:name w:val="Balloon Text"/>
    <w:basedOn w:val="Normal"/>
    <w:link w:val="BalloonTextChar"/>
    <w:rsid w:val="003322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22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22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22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22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22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2299"/>
    <w:pPr>
      <w:spacing w:before="0" w:after="0"/>
    </w:pPr>
  </w:style>
  <w:style w:type="paragraph" w:customStyle="1" w:styleId="BodyTextBold">
    <w:name w:val="Body Text Bold"/>
    <w:basedOn w:val="BodyText"/>
    <w:qFormat/>
    <w:rsid w:val="00332299"/>
    <w:rPr>
      <w:b/>
    </w:rPr>
  </w:style>
  <w:style w:type="character" w:styleId="Hyperlink">
    <w:name w:val="Hyperlink"/>
    <w:basedOn w:val="DefaultParagraphFont"/>
    <w:uiPriority w:val="99"/>
    <w:unhideWhenUsed/>
    <w:rsid w:val="007279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3426</Characters>
  <Application>Microsoft Office Word</Application>
  <DocSecurity>0</DocSecurity>
  <Lines>103</Lines>
  <Paragraphs>87</Paragraphs>
  <ScaleCrop>false</ScaleCrop>
  <Company>Author-it Software Corporation Ltd.</Company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AURHTD104 Carry out heavy vehicle wheel alignment operations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2023-12-19T06:39:00Z</dcterms:created>
  <dcterms:modified xsi:type="dcterms:W3CDTF">2023-12-19T06:39:00Z</dcterms:modified>
</cp:coreProperties>
</file>