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DF2" w:rsidP="00526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AURHTD004 Carry out heavy vehicle wheel alignment operations</w:t>
      </w:r>
      <w:r>
        <w:fldChar w:fldCharType="end"/>
      </w:r>
    </w:p>
    <w:p w:rsidR="00526DF2" w:rsidP="00526DF2">
      <w:pPr>
        <w:pStyle w:val="Version"/>
        <w:sectPr w:rsidSect="005A36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676" w:rsidP="005A3676">
      <w:pPr>
        <w:pStyle w:val="SuperHeading"/>
      </w:pPr>
      <w:r w:rsidRPr="005A3676">
        <w:t>Assessment Requirements for AURHTD004 Carry out heavy vehicle wheel alignment operations</w:t>
      </w:r>
    </w:p>
    <w:p w:rsidR="00000000" w:rsidRPr="005A3676" w:rsidP="005A3676">
      <w:pPr>
        <w:pStyle w:val="Heading1"/>
      </w:pPr>
      <w:bookmarkStart w:id="1" w:name="O_775055"/>
      <w:bookmarkEnd w:id="1"/>
      <w:r w:rsidRPr="005A367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26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76" w:rsidP="005A3676">
            <w:pPr>
              <w:pStyle w:val="BodyText"/>
            </w:pPr>
            <w:r w:rsidRPr="005A367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76">
            <w:pPr>
              <w:pStyle w:val="BodyText"/>
              <w:rPr>
                <w:lang w:val="en-NZ"/>
              </w:rPr>
            </w:pPr>
            <w:r w:rsidRPr="005A3676">
              <w:rPr>
                <w:rStyle w:val="SpecialBold"/>
              </w:rPr>
              <w:t>Comment</w:t>
            </w:r>
          </w:p>
        </w:tc>
      </w:tr>
      <w:tr w:rsidTr="00526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76">
            <w:pPr>
              <w:pStyle w:val="BodyText"/>
              <w:rPr>
                <w:lang w:val="en-NZ"/>
              </w:rPr>
            </w:pPr>
            <w:r w:rsidRPr="005A367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76" w:rsidP="005A3676">
            <w:pPr>
              <w:pStyle w:val="BodyText"/>
            </w:pPr>
            <w:r w:rsidRPr="005A3676">
              <w:t>New unit of competency.</w:t>
            </w:r>
          </w:p>
        </w:tc>
      </w:tr>
    </w:tbl>
    <w:p w:rsidR="00000000" w:rsidRPr="005A3676" w:rsidP="005A3676">
      <w:pPr>
        <w:pStyle w:val="BodyText"/>
      </w:pPr>
    </w:p>
    <w:p w:rsidR="00000000" w:rsidRPr="005A3676" w:rsidP="005A3676">
      <w:pPr>
        <w:pStyle w:val="AllowPageBreak"/>
      </w:pPr>
    </w:p>
    <w:p w:rsidR="00000000" w:rsidRPr="005A3676" w:rsidP="005A3676">
      <w:pPr>
        <w:pStyle w:val="Heading1"/>
      </w:pPr>
      <w:bookmarkStart w:id="2" w:name="O_775056"/>
      <w:bookmarkEnd w:id="2"/>
      <w:r w:rsidRPr="005A3676">
        <w:t>Performance Evidence</w:t>
      </w:r>
    </w:p>
    <w:p w:rsidR="00000000" w:rsidRPr="005A3676" w:rsidP="00526DF2">
      <w:pPr>
        <w:pStyle w:val="BodyText"/>
      </w:pPr>
      <w:r w:rsidRPr="005A3676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5A3676" w:rsidP="005A3676">
      <w:pPr>
        <w:pStyle w:val="ListBullet"/>
      </w:pPr>
      <w:r w:rsidRPr="005A3676">
        <w:t>align the wheels on at least three</w:t>
      </w:r>
      <w:r w:rsidRPr="005A3676">
        <w:t xml:space="preserve"> different heavy vehicles, in which the work must involve measuring, recording and adjusting the following angles to manufacturer specifications:</w:t>
      </w:r>
    </w:p>
    <w:p w:rsidR="00000000" w:rsidRPr="005A3676" w:rsidP="005A3676">
      <w:pPr>
        <w:pStyle w:val="ListBullet2"/>
      </w:pPr>
      <w:r w:rsidRPr="005A3676">
        <w:t>camber</w:t>
      </w:r>
    </w:p>
    <w:p w:rsidR="00000000" w:rsidRPr="005A3676" w:rsidP="005A3676">
      <w:pPr>
        <w:pStyle w:val="ListBullet2"/>
      </w:pPr>
      <w:r w:rsidRPr="005A3676">
        <w:t>caster</w:t>
      </w:r>
    </w:p>
    <w:p w:rsidR="00000000" w:rsidRPr="005A3676" w:rsidP="005A3676">
      <w:pPr>
        <w:pStyle w:val="ListBullet2"/>
      </w:pPr>
      <w:r w:rsidRPr="005A3676">
        <w:t>king pin inclination (KPI)</w:t>
      </w:r>
    </w:p>
    <w:p w:rsidR="00000000" w:rsidRPr="005A3676" w:rsidP="005A3676">
      <w:pPr>
        <w:pStyle w:val="ListBullet2"/>
      </w:pPr>
      <w:r w:rsidRPr="005A3676">
        <w:t xml:space="preserve">toe (toe-in and toe-out) </w:t>
      </w:r>
    </w:p>
    <w:p w:rsidR="00000000" w:rsidRPr="005A3676" w:rsidP="005A3676">
      <w:pPr>
        <w:pStyle w:val="ListBullet2"/>
      </w:pPr>
      <w:r w:rsidRPr="005A3676">
        <w:t>toe-out on turns.</w:t>
      </w:r>
    </w:p>
    <w:p w:rsidR="00000000" w:rsidRPr="005A3676" w:rsidP="005A3676">
      <w:pPr>
        <w:pStyle w:val="AllowPageBreak"/>
      </w:pPr>
    </w:p>
    <w:p w:rsidR="00000000" w:rsidRPr="005A3676" w:rsidP="005A3676">
      <w:pPr>
        <w:pStyle w:val="Heading1"/>
      </w:pPr>
      <w:bookmarkStart w:id="3" w:name="O_775057"/>
      <w:bookmarkEnd w:id="3"/>
      <w:r w:rsidRPr="005A3676">
        <w:t>Knowledge Evidence</w:t>
      </w:r>
    </w:p>
    <w:p w:rsidR="00000000" w:rsidRPr="005A3676" w:rsidP="00526DF2">
      <w:pPr>
        <w:pStyle w:val="BodyText"/>
      </w:pPr>
      <w:r w:rsidRPr="005A3676">
        <w:t>Individuals must be able to demonstrate knowledge of:</w:t>
      </w:r>
    </w:p>
    <w:p w:rsidR="00000000" w:rsidRPr="005A3676" w:rsidP="005A3676">
      <w:pPr>
        <w:pStyle w:val="ListBullet"/>
      </w:pPr>
      <w:r w:rsidRPr="005A3676">
        <w:t>work health and safety (WHS) and occupational health and safety (OHS) requirements relating to heavy vehicle wheel alignment operations, including procedures for raising and supporti</w:t>
      </w:r>
      <w:r w:rsidRPr="005A3676">
        <w:t>ng heavy vehicles or machinery</w:t>
      </w:r>
    </w:p>
    <w:p w:rsidR="00000000" w:rsidRPr="005A3676" w:rsidP="005A3676">
      <w:pPr>
        <w:pStyle w:val="ListBullet"/>
      </w:pPr>
      <w:r w:rsidRPr="005A3676">
        <w:t>application, purpose and operating principles of steering geometry and wheel alignment angles, including:</w:t>
      </w:r>
    </w:p>
    <w:p w:rsidR="00000000" w:rsidRPr="005A3676" w:rsidP="005A3676">
      <w:pPr>
        <w:pStyle w:val="ListBullet2"/>
      </w:pPr>
      <w:r w:rsidRPr="005A3676">
        <w:t>Ackermann principle of steering</w:t>
      </w:r>
    </w:p>
    <w:p w:rsidR="00000000" w:rsidRPr="005A3676" w:rsidP="005A3676">
      <w:pPr>
        <w:pStyle w:val="ListBullet2"/>
      </w:pPr>
      <w:r w:rsidRPr="005A3676">
        <w:t>camber</w:t>
      </w:r>
    </w:p>
    <w:p w:rsidR="00000000" w:rsidRPr="005A3676" w:rsidP="005A3676">
      <w:pPr>
        <w:pStyle w:val="ListBullet2"/>
      </w:pPr>
      <w:r w:rsidRPr="005A3676">
        <w:t>caster</w:t>
      </w:r>
    </w:p>
    <w:p w:rsidR="00000000" w:rsidRPr="005A3676" w:rsidP="005A3676">
      <w:pPr>
        <w:pStyle w:val="ListBullet2"/>
      </w:pPr>
      <w:r w:rsidRPr="005A3676">
        <w:t>KPI</w:t>
      </w:r>
    </w:p>
    <w:p w:rsidR="00000000" w:rsidRPr="005A3676" w:rsidP="005A3676">
      <w:pPr>
        <w:pStyle w:val="ListBullet2"/>
      </w:pPr>
      <w:r w:rsidRPr="005A3676">
        <w:t>toe-in and toe-out</w:t>
      </w:r>
    </w:p>
    <w:p w:rsidR="00000000" w:rsidRPr="005A3676" w:rsidP="005A3676">
      <w:pPr>
        <w:pStyle w:val="ListBullet2"/>
      </w:pPr>
      <w:r w:rsidRPr="005A3676">
        <w:t>toe-out on turns</w:t>
      </w:r>
    </w:p>
    <w:p w:rsidR="00000000" w:rsidRPr="005A3676" w:rsidP="005A3676">
      <w:pPr>
        <w:pStyle w:val="ListBullet2"/>
      </w:pPr>
      <w:r w:rsidRPr="005A3676">
        <w:t>steering axis inclination</w:t>
      </w:r>
    </w:p>
    <w:p w:rsidR="00000000" w:rsidRPr="005A3676" w:rsidP="005A3676">
      <w:pPr>
        <w:pStyle w:val="ListBullet2"/>
      </w:pPr>
      <w:r w:rsidRPr="005A3676">
        <w:t>two wheel and twin four wheel steer</w:t>
      </w:r>
    </w:p>
    <w:p w:rsidR="00000000" w:rsidRPr="005A3676" w:rsidP="005A3676">
      <w:pPr>
        <w:pStyle w:val="ListBullet"/>
      </w:pPr>
      <w:r w:rsidRPr="005A3676">
        <w:t>vehicle pre-alignment inspection procedures, including:</w:t>
      </w:r>
    </w:p>
    <w:p w:rsidR="00000000" w:rsidRPr="005A3676" w:rsidP="005A3676">
      <w:pPr>
        <w:pStyle w:val="ListBullet2"/>
      </w:pPr>
      <w:r w:rsidRPr="005A3676">
        <w:t>analysing tyre wear</w:t>
      </w:r>
    </w:p>
    <w:p w:rsidR="00000000" w:rsidRPr="005A3676" w:rsidP="005A3676">
      <w:pPr>
        <w:pStyle w:val="ListBullet2"/>
      </w:pPr>
      <w:r w:rsidRPr="005A3676">
        <w:t>inflating tyre</w:t>
      </w:r>
    </w:p>
    <w:p w:rsidR="00000000" w:rsidRPr="005A3676" w:rsidP="005A3676">
      <w:pPr>
        <w:pStyle w:val="ListBullet2"/>
      </w:pPr>
      <w:r w:rsidRPr="005A3676">
        <w:t>adjusting wheel bearing</w:t>
      </w:r>
    </w:p>
    <w:p w:rsidR="00000000" w:rsidRPr="005A3676" w:rsidP="005A3676">
      <w:pPr>
        <w:pStyle w:val="ListBullet2"/>
      </w:pPr>
      <w:r w:rsidRPr="005A3676">
        <w:t>inspecting steering and suspension</w:t>
      </w:r>
    </w:p>
    <w:p w:rsidR="00000000" w:rsidRPr="005A3676" w:rsidP="005A3676">
      <w:pPr>
        <w:pStyle w:val="ListBullet2"/>
      </w:pPr>
      <w:r w:rsidRPr="005A3676">
        <w:t>determining wheel run-out</w:t>
      </w:r>
    </w:p>
    <w:p w:rsidR="00000000" w:rsidRPr="005A3676" w:rsidP="005A3676">
      <w:pPr>
        <w:pStyle w:val="ListBullet2"/>
      </w:pPr>
      <w:r w:rsidRPr="005A3676">
        <w:t>determining vehicle height</w:t>
      </w:r>
    </w:p>
    <w:p w:rsidR="00000000" w:rsidRPr="005A3676" w:rsidP="005A3676">
      <w:pPr>
        <w:pStyle w:val="ListBullet2"/>
      </w:pPr>
      <w:r w:rsidRPr="005A3676">
        <w:t>checking chassi</w:t>
      </w:r>
      <w:r w:rsidRPr="005A3676">
        <w:t>s and axle alignment</w:t>
      </w:r>
    </w:p>
    <w:p w:rsidR="00000000" w:rsidRPr="005A3676" w:rsidP="005A3676">
      <w:pPr>
        <w:pStyle w:val="ListBullet"/>
      </w:pPr>
      <w:r w:rsidRPr="005A3676">
        <w:t>wheel alignment equipment types, application and operation</w:t>
      </w:r>
    </w:p>
    <w:p w:rsidR="00000000" w:rsidRPr="005A3676" w:rsidP="005A3676">
      <w:pPr>
        <w:pStyle w:val="ListBullet"/>
      </w:pPr>
      <w:r w:rsidRPr="005A3676">
        <w:t>procedures for measuring and adjusting steering angles, including:</w:t>
      </w:r>
    </w:p>
    <w:p w:rsidR="00000000" w:rsidRPr="005A3676" w:rsidP="005A3676">
      <w:pPr>
        <w:pStyle w:val="ListBullet2"/>
      </w:pPr>
      <w:r w:rsidRPr="005A3676">
        <w:t>camber</w:t>
      </w:r>
    </w:p>
    <w:p w:rsidR="00000000" w:rsidRPr="005A3676" w:rsidP="005A3676">
      <w:pPr>
        <w:pStyle w:val="ListBullet2"/>
      </w:pPr>
      <w:r w:rsidRPr="005A3676">
        <w:t>caster</w:t>
      </w:r>
    </w:p>
    <w:p w:rsidR="00000000" w:rsidRPr="005A3676" w:rsidP="005A3676">
      <w:pPr>
        <w:pStyle w:val="ListBullet2"/>
      </w:pPr>
      <w:r w:rsidRPr="005A3676">
        <w:t>toe-in and toe-out</w:t>
      </w:r>
    </w:p>
    <w:p w:rsidR="00000000" w:rsidRPr="005A3676" w:rsidP="005A3676">
      <w:pPr>
        <w:pStyle w:val="ListBullet2"/>
      </w:pPr>
      <w:r w:rsidRPr="005A3676">
        <w:t xml:space="preserve">toe-out on turns </w:t>
      </w:r>
    </w:p>
    <w:p w:rsidR="00000000" w:rsidRPr="005A3676" w:rsidP="005A3676">
      <w:pPr>
        <w:pStyle w:val="ListBullet"/>
      </w:pPr>
      <w:r w:rsidRPr="005A3676">
        <w:t>post-wheel alignment testing procedures for heavy vehicles.</w:t>
      </w:r>
    </w:p>
    <w:p w:rsidR="00000000" w:rsidRPr="005A3676" w:rsidP="005A3676">
      <w:pPr>
        <w:pStyle w:val="AllowPageBreak"/>
      </w:pPr>
    </w:p>
    <w:p w:rsidR="00000000" w:rsidRPr="005A3676" w:rsidP="005A3676">
      <w:pPr>
        <w:pStyle w:val="Heading1"/>
      </w:pPr>
      <w:bookmarkStart w:id="4" w:name="O_775058"/>
      <w:bookmarkEnd w:id="4"/>
      <w:r w:rsidRPr="005A3676">
        <w:t>Assessment Conditions</w:t>
      </w:r>
    </w:p>
    <w:p w:rsidR="00000000" w:rsidRPr="005A3676" w:rsidP="00526DF2">
      <w:pPr>
        <w:pStyle w:val="BodyText"/>
      </w:pPr>
      <w:r w:rsidRPr="005A3676">
        <w:t>Assessors must satisfy NVR/AQTF assessor requirements.</w:t>
      </w:r>
    </w:p>
    <w:p w:rsidR="00000000" w:rsidRPr="005A3676" w:rsidP="00526DF2">
      <w:pPr>
        <w:pStyle w:val="BodyText"/>
      </w:pPr>
      <w:r w:rsidRPr="005A3676">
        <w:t>Competency is to be assessed in the workplace or a simulated environment that accurately reflects per</w:t>
      </w:r>
      <w:r w:rsidRPr="005A3676">
        <w:t>formance in a real workplace setting.</w:t>
      </w:r>
    </w:p>
    <w:p w:rsidR="00000000" w:rsidRPr="005A3676" w:rsidP="00526DF2">
      <w:pPr>
        <w:pStyle w:val="BodyText"/>
      </w:pPr>
      <w:r w:rsidRPr="005A3676">
        <w:t>Assessment must include direct observation of tasks.</w:t>
      </w:r>
    </w:p>
    <w:p w:rsidR="00000000" w:rsidRPr="005A3676" w:rsidP="00526DF2">
      <w:pPr>
        <w:pStyle w:val="BodyText"/>
      </w:pPr>
      <w:r w:rsidRPr="005A3676">
        <w:t>Where assessment of competency includes third-party evidence, individuals must provide evidence that links them to the heavy vehicle wheel alignments that they hav</w:t>
      </w:r>
      <w:r w:rsidRPr="005A3676">
        <w:t>e carried out, e.g. repair orders.</w:t>
      </w:r>
    </w:p>
    <w:p w:rsidR="00000000" w:rsidRPr="005A3676" w:rsidP="00526DF2">
      <w:pPr>
        <w:pStyle w:val="BodyText"/>
      </w:pPr>
      <w:r w:rsidRPr="005A3676">
        <w:t>Assessors must verify performance evidence through questioning on skills and knowledge to ensure correct interpretation and application.</w:t>
      </w:r>
    </w:p>
    <w:p w:rsidR="00000000" w:rsidRPr="005A3676" w:rsidP="00526DF2">
      <w:pPr>
        <w:pStyle w:val="BodyText"/>
      </w:pPr>
      <w:r w:rsidRPr="005A3676">
        <w:t>The following resources must be made available:</w:t>
      </w:r>
    </w:p>
    <w:p w:rsidR="00000000" w:rsidRPr="005A3676" w:rsidP="005A3676">
      <w:pPr>
        <w:pStyle w:val="ListBullet"/>
      </w:pPr>
      <w:r w:rsidRPr="005A3676">
        <w:t>automotive repair workplace or simulated workplace</w:t>
      </w:r>
    </w:p>
    <w:p w:rsidR="00000000" w:rsidRPr="005A3676" w:rsidP="005A3676">
      <w:pPr>
        <w:pStyle w:val="ListBullet"/>
      </w:pPr>
      <w:r w:rsidRPr="005A3676">
        <w:t>workplace instructions</w:t>
      </w:r>
    </w:p>
    <w:p w:rsidR="00000000" w:rsidRPr="005A3676" w:rsidP="005A3676">
      <w:pPr>
        <w:pStyle w:val="ListBullet"/>
      </w:pPr>
      <w:r w:rsidRPr="005A3676">
        <w:t>manufacturer wheel alignment specifications</w:t>
      </w:r>
    </w:p>
    <w:p w:rsidR="00000000" w:rsidRPr="005A3676" w:rsidP="005A3676">
      <w:pPr>
        <w:pStyle w:val="ListBullet"/>
      </w:pPr>
      <w:r w:rsidRPr="005A3676">
        <w:t>three different heavy vehicles requiring wheel alignment</w:t>
      </w:r>
    </w:p>
    <w:p w:rsidR="00000000" w:rsidRPr="005A3676" w:rsidP="005A3676">
      <w:pPr>
        <w:pStyle w:val="ListBullet"/>
      </w:pPr>
      <w:r w:rsidRPr="005A3676">
        <w:t xml:space="preserve">wheel alignment equipment for heavy vehicles </w:t>
      </w:r>
    </w:p>
    <w:p w:rsidR="00000000" w:rsidRPr="005A3676" w:rsidP="005A3676">
      <w:pPr>
        <w:pStyle w:val="ListBullet"/>
      </w:pPr>
      <w:r w:rsidRPr="005A3676">
        <w:t>tools, equipment and materials appr</w:t>
      </w:r>
      <w:r w:rsidRPr="005A3676">
        <w:t>opriate for carrying out wheel alignment operations on heavy vehicles.</w:t>
      </w:r>
    </w:p>
    <w:p w:rsidR="00000000" w:rsidRPr="005A3676" w:rsidP="005A3676">
      <w:pPr>
        <w:pStyle w:val="AllowPageBreak"/>
      </w:pPr>
    </w:p>
    <w:p w:rsidR="00000000" w:rsidRPr="005A3676" w:rsidP="005A3676">
      <w:pPr>
        <w:pStyle w:val="Heading1"/>
      </w:pPr>
      <w:bookmarkStart w:id="5" w:name="O_775061"/>
      <w:bookmarkEnd w:id="5"/>
      <w:r w:rsidRPr="005A3676">
        <w:t>Links</w:t>
      </w:r>
    </w:p>
    <w:p w:rsidR="00000000" w:rsidRPr="005A3676" w:rsidP="00526DF2">
      <w:pPr>
        <w:pStyle w:val="BodyText"/>
      </w:pPr>
      <w:r w:rsidRPr="005A36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7465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A3676" w:rsidP="00526DF2">
      <w:pPr>
        <w:pStyle w:val="BodyText"/>
      </w:pPr>
      <w:r w:rsidRPr="005A3676">
        <w:t>Companion Volume</w:t>
      </w:r>
      <w:r w:rsidRPr="005A3676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7465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A3676" w:rsidP="005A3676"/>
    <w:sectPr w:rsidSect="005A36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76" w:rsidRPr="00526DF2" w:rsidP="00526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F2" w:rsidP="005A36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6DF2" w:rsidP="005A36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26DF2" w:rsidP="005A36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676" w:rsidRPr="00526DF2" w:rsidP="00526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DF2" w:rsidRPr="002D2AF8" w:rsidP="005A36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AURHTD004 Carry out heavy vehicle wheel alignment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26DF2" w:rsidP="005A36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C0C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565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8C38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6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6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6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6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6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6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6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6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6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6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6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676"/>
  </w:style>
  <w:style w:type="character" w:customStyle="1" w:styleId="Heading1Char">
    <w:name w:val="Heading 1 Char"/>
    <w:basedOn w:val="DefaultParagraphFont"/>
    <w:link w:val="Heading1"/>
    <w:rsid w:val="005A36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6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6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6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676"/>
    <w:rPr>
      <w:b/>
      <w:spacing w:val="0"/>
    </w:rPr>
  </w:style>
  <w:style w:type="paragraph" w:styleId="ListBullet2">
    <w:name w:val="List Bullet 2"/>
    <w:basedOn w:val="List2"/>
    <w:rsid w:val="005A36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36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6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6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6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6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6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6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6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6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6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6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6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6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6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6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6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6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6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6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6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6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6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6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36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6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6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6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6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6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6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6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6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3676"/>
    <w:rPr>
      <w:i/>
    </w:rPr>
  </w:style>
  <w:style w:type="paragraph" w:styleId="Caption">
    <w:name w:val="caption"/>
    <w:basedOn w:val="BodyText"/>
    <w:next w:val="Normal"/>
    <w:qFormat/>
    <w:rsid w:val="005A36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6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6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676"/>
  </w:style>
  <w:style w:type="paragraph" w:styleId="TableofFigures">
    <w:name w:val="table of figures"/>
    <w:basedOn w:val="Normal"/>
    <w:next w:val="Normal"/>
    <w:semiHidden/>
    <w:rsid w:val="005A36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6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3676"/>
    <w:rPr>
      <w:rFonts w:ascii="Wingdings" w:hAnsi="Wingdings"/>
    </w:rPr>
  </w:style>
  <w:style w:type="paragraph" w:customStyle="1" w:styleId="TableHeading">
    <w:name w:val="Table Heading"/>
    <w:basedOn w:val="HeadingBase"/>
    <w:rsid w:val="005A36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676"/>
    <w:rPr>
      <w:color w:val="0033CC"/>
      <w:u w:val="none"/>
    </w:rPr>
  </w:style>
  <w:style w:type="paragraph" w:customStyle="1" w:styleId="BodyTextRight">
    <w:name w:val="Body Text Right"/>
    <w:basedOn w:val="BodyText"/>
    <w:rsid w:val="005A36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6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6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6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6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6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676"/>
    <w:rPr>
      <w:sz w:val="32"/>
    </w:rPr>
  </w:style>
  <w:style w:type="paragraph" w:customStyle="1" w:styleId="HeadingProcedure">
    <w:name w:val="Heading Procedure"/>
    <w:basedOn w:val="HeadingBase"/>
    <w:next w:val="Normal"/>
    <w:rsid w:val="005A36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676"/>
    <w:pPr>
      <w:spacing w:before="60" w:after="60"/>
    </w:pPr>
  </w:style>
  <w:style w:type="paragraph" w:styleId="ListContinue">
    <w:name w:val="List Continue"/>
    <w:basedOn w:val="List"/>
    <w:rsid w:val="005A3676"/>
    <w:pPr>
      <w:ind w:firstLine="0"/>
    </w:pPr>
  </w:style>
  <w:style w:type="paragraph" w:customStyle="1" w:styleId="ListNote">
    <w:name w:val="List Note"/>
    <w:basedOn w:val="List"/>
    <w:rsid w:val="005A36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6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6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676"/>
    <w:rPr>
      <w:rFonts w:ascii="Courier New" w:hAnsi="Courier New"/>
    </w:rPr>
  </w:style>
  <w:style w:type="paragraph" w:customStyle="1" w:styleId="NoteBullet">
    <w:name w:val="Note Bullet"/>
    <w:basedOn w:val="Note"/>
    <w:rsid w:val="005A36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6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6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6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6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36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6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676"/>
    <w:rPr>
      <w:b/>
      <w:smallCaps/>
    </w:rPr>
  </w:style>
  <w:style w:type="paragraph" w:customStyle="1" w:styleId="TableListNumber">
    <w:name w:val="Table List Number"/>
    <w:basedOn w:val="ListNumber"/>
    <w:rsid w:val="005A36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6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676"/>
    <w:pPr>
      <w:numPr>
        <w:numId w:val="9"/>
      </w:numPr>
    </w:pPr>
  </w:style>
  <w:style w:type="paragraph" w:customStyle="1" w:styleId="ListAlpha2">
    <w:name w:val="List Alpha 2"/>
    <w:basedOn w:val="List2"/>
    <w:rsid w:val="005A3676"/>
    <w:pPr>
      <w:numPr>
        <w:numId w:val="8"/>
      </w:numPr>
    </w:pPr>
  </w:style>
  <w:style w:type="paragraph" w:styleId="List2">
    <w:name w:val="List 2"/>
    <w:basedOn w:val="BodyText"/>
    <w:rsid w:val="005A36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6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6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6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6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6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3676"/>
    <w:pPr>
      <w:numPr>
        <w:numId w:val="4"/>
      </w:numPr>
    </w:pPr>
  </w:style>
  <w:style w:type="paragraph" w:styleId="ListContinue2">
    <w:name w:val="List Continue 2"/>
    <w:basedOn w:val="List2"/>
    <w:rsid w:val="005A3676"/>
    <w:pPr>
      <w:ind w:firstLine="0"/>
    </w:pPr>
  </w:style>
  <w:style w:type="paragraph" w:styleId="ListContinue3">
    <w:name w:val="List Continue 3"/>
    <w:basedOn w:val="List3"/>
    <w:rsid w:val="005A3676"/>
    <w:pPr>
      <w:ind w:left="1021" w:firstLine="0"/>
    </w:pPr>
  </w:style>
  <w:style w:type="paragraph" w:styleId="ListContinue4">
    <w:name w:val="List Continue 4"/>
    <w:basedOn w:val="List4"/>
    <w:rsid w:val="005A3676"/>
    <w:pPr>
      <w:ind w:firstLine="0"/>
    </w:pPr>
  </w:style>
  <w:style w:type="paragraph" w:styleId="ListContinue5">
    <w:name w:val="List Continue 5"/>
    <w:basedOn w:val="List5"/>
    <w:rsid w:val="005A3676"/>
    <w:pPr>
      <w:ind w:firstLine="0"/>
    </w:pPr>
  </w:style>
  <w:style w:type="paragraph" w:styleId="ListNumber3">
    <w:name w:val="List Number 3"/>
    <w:basedOn w:val="List3"/>
    <w:rsid w:val="005A3676"/>
    <w:pPr>
      <w:numPr>
        <w:numId w:val="5"/>
      </w:numPr>
    </w:pPr>
  </w:style>
  <w:style w:type="paragraph" w:styleId="ListNumber4">
    <w:name w:val="List Number 4"/>
    <w:basedOn w:val="List4"/>
    <w:rsid w:val="005A3676"/>
    <w:pPr>
      <w:numPr>
        <w:numId w:val="6"/>
      </w:numPr>
    </w:pPr>
  </w:style>
  <w:style w:type="paragraph" w:styleId="ListNumber5">
    <w:name w:val="List Number 5"/>
    <w:basedOn w:val="List5"/>
    <w:rsid w:val="005A3676"/>
    <w:pPr>
      <w:numPr>
        <w:numId w:val="7"/>
      </w:numPr>
    </w:pPr>
  </w:style>
  <w:style w:type="paragraph" w:styleId="BlockText">
    <w:name w:val="Block Text"/>
    <w:basedOn w:val="Normal"/>
    <w:rsid w:val="005A36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6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676"/>
    <w:rPr>
      <w:sz w:val="16"/>
      <w:vertAlign w:val="superscript"/>
    </w:rPr>
  </w:style>
  <w:style w:type="character" w:customStyle="1" w:styleId="Symbols">
    <w:name w:val="Symbols"/>
    <w:basedOn w:val="DefaultParagraphFont"/>
    <w:rsid w:val="005A3676"/>
    <w:rPr>
      <w:rFonts w:ascii="Symbol" w:hAnsi="Symbol"/>
    </w:rPr>
  </w:style>
  <w:style w:type="character" w:customStyle="1" w:styleId="MenuOptions">
    <w:name w:val="Menu Options"/>
    <w:basedOn w:val="DefaultParagraphFont"/>
    <w:rsid w:val="005A36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676"/>
    <w:rPr>
      <w:b/>
    </w:rPr>
  </w:style>
  <w:style w:type="character" w:customStyle="1" w:styleId="Underlined">
    <w:name w:val="Underlined"/>
    <w:basedOn w:val="DefaultParagraphFont"/>
    <w:rsid w:val="005A3676"/>
    <w:rPr>
      <w:u w:val="single"/>
    </w:rPr>
  </w:style>
  <w:style w:type="paragraph" w:customStyle="1" w:styleId="TableBodyTextRight">
    <w:name w:val="Table Body Text Right"/>
    <w:basedOn w:val="TableBodyText"/>
    <w:rsid w:val="005A36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676"/>
    <w:rPr>
      <w:sz w:val="18"/>
    </w:rPr>
  </w:style>
  <w:style w:type="paragraph" w:customStyle="1" w:styleId="BodySmallRight">
    <w:name w:val="Body Small Right"/>
    <w:basedOn w:val="BodyTextRight"/>
    <w:rsid w:val="005A3676"/>
    <w:rPr>
      <w:sz w:val="18"/>
      <w:szCs w:val="18"/>
    </w:rPr>
  </w:style>
  <w:style w:type="paragraph" w:customStyle="1" w:styleId="MarginEdition">
    <w:name w:val="Margin Edition"/>
    <w:basedOn w:val="MarginNote"/>
    <w:rsid w:val="005A36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676"/>
    <w:rPr>
      <w:sz w:val="2"/>
      <w:szCs w:val="2"/>
    </w:rPr>
  </w:style>
  <w:style w:type="character" w:customStyle="1" w:styleId="Small">
    <w:name w:val="Small"/>
    <w:basedOn w:val="DefaultParagraphFont"/>
    <w:rsid w:val="005A3676"/>
    <w:rPr>
      <w:sz w:val="16"/>
    </w:rPr>
  </w:style>
  <w:style w:type="paragraph" w:customStyle="1" w:styleId="WideTable">
    <w:name w:val="Wide Table"/>
    <w:basedOn w:val="Normal"/>
    <w:rsid w:val="005A36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676"/>
  </w:style>
  <w:style w:type="paragraph" w:styleId="Quote">
    <w:name w:val="Quote"/>
    <w:basedOn w:val="Heading1"/>
    <w:link w:val="QuoteChar"/>
    <w:qFormat/>
    <w:rsid w:val="005A36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6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676"/>
    <w:pPr>
      <w:pageBreakBefore/>
    </w:pPr>
  </w:style>
  <w:style w:type="paragraph" w:customStyle="1" w:styleId="Border">
    <w:name w:val="Border"/>
    <w:basedOn w:val="Normal"/>
    <w:qFormat/>
    <w:rsid w:val="005A36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6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6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6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6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6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6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6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6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676"/>
    <w:rPr>
      <w:u w:val="single"/>
    </w:rPr>
  </w:style>
  <w:style w:type="character" w:customStyle="1" w:styleId="BoldandItalics">
    <w:name w:val="Bold and Italics"/>
    <w:qFormat/>
    <w:rsid w:val="005A3676"/>
    <w:rPr>
      <w:b/>
      <w:i/>
      <w:u w:val="none"/>
    </w:rPr>
  </w:style>
  <w:style w:type="paragraph" w:styleId="BalloonText">
    <w:name w:val="Balloon Text"/>
    <w:basedOn w:val="Normal"/>
    <w:link w:val="BalloonTextChar"/>
    <w:rsid w:val="005A3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6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6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6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6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6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676"/>
    <w:pPr>
      <w:spacing w:before="0" w:after="0"/>
    </w:pPr>
  </w:style>
  <w:style w:type="paragraph" w:customStyle="1" w:styleId="BodyTextBold">
    <w:name w:val="Body Text Bold"/>
    <w:basedOn w:val="BodyText"/>
    <w:qFormat/>
    <w:rsid w:val="005A3676"/>
    <w:rPr>
      <w:b/>
    </w:rPr>
  </w:style>
  <w:style w:type="character" w:styleId="Hyperlink">
    <w:name w:val="Hyperlink"/>
    <w:basedOn w:val="DefaultParagraphFont"/>
    <w:uiPriority w:val="99"/>
    <w:unhideWhenUsed/>
    <w:rsid w:val="00526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2923</Characters>
  <Application>Microsoft Office Word</Application>
  <DocSecurity>0</DocSecurity>
  <Lines>94</Lines>
  <Paragraphs>72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AURHTD004 Carry out heavy vehicle wheel alignment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