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3CE" w:rsidP="007733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AURETU006 Diagnose complex faults in air conditioning and HVAC systems</w:t>
      </w:r>
      <w:r>
        <w:fldChar w:fldCharType="end"/>
      </w:r>
    </w:p>
    <w:p w:rsidR="007733CE" w:rsidP="007733CE">
      <w:pPr>
        <w:pStyle w:val="Version"/>
        <w:sectPr w:rsidSect="00CA0A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AF9" w:rsidP="00CA0AF9">
      <w:pPr>
        <w:pStyle w:val="SuperHeading"/>
      </w:pPr>
      <w:r w:rsidRPr="00CA0AF9">
        <w:t>Assessment Requirements for AURETU006 Diagnose complex faults in air conditioning and HVAC systems</w:t>
      </w:r>
    </w:p>
    <w:p w:rsidR="00000000" w:rsidRPr="00CA0AF9" w:rsidP="00CA0AF9">
      <w:pPr>
        <w:pStyle w:val="Heading1"/>
      </w:pPr>
      <w:bookmarkStart w:id="1" w:name="O_773761"/>
      <w:bookmarkEnd w:id="1"/>
      <w:r w:rsidRPr="00CA0AF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733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AF9" w:rsidP="00CA0AF9">
            <w:pPr>
              <w:pStyle w:val="BodyText"/>
            </w:pPr>
            <w:r w:rsidRPr="00CA0AF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AF9">
            <w:pPr>
              <w:pStyle w:val="BodyText"/>
              <w:rPr>
                <w:lang w:val="en-NZ"/>
              </w:rPr>
            </w:pPr>
            <w:r w:rsidRPr="00CA0AF9">
              <w:rPr>
                <w:rStyle w:val="SpecialBold"/>
              </w:rPr>
              <w:t>Comment</w:t>
            </w:r>
          </w:p>
        </w:tc>
      </w:tr>
      <w:tr w:rsidTr="007733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AF9">
            <w:pPr>
              <w:pStyle w:val="BodyText"/>
              <w:rPr>
                <w:lang w:val="en-NZ"/>
              </w:rPr>
            </w:pPr>
            <w:r w:rsidRPr="00CA0AF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AF9" w:rsidP="00CA0AF9">
            <w:pPr>
              <w:pStyle w:val="BodyText"/>
            </w:pPr>
            <w:r w:rsidRPr="00CA0AF9">
              <w:t>New unit of competency.</w:t>
            </w:r>
          </w:p>
        </w:tc>
      </w:tr>
    </w:tbl>
    <w:p w:rsidR="00000000" w:rsidRPr="00CA0AF9" w:rsidP="00CA0AF9">
      <w:pPr>
        <w:pStyle w:val="BodyText"/>
      </w:pPr>
    </w:p>
    <w:p w:rsidR="00000000" w:rsidRPr="00CA0AF9" w:rsidP="00CA0AF9">
      <w:pPr>
        <w:pStyle w:val="AllowPageBreak"/>
      </w:pPr>
    </w:p>
    <w:p w:rsidR="00000000" w:rsidRPr="00CA0AF9" w:rsidP="00CA0AF9">
      <w:pPr>
        <w:pStyle w:val="Heading1"/>
      </w:pPr>
      <w:bookmarkStart w:id="2" w:name="O_773762"/>
      <w:bookmarkEnd w:id="2"/>
      <w:r w:rsidRPr="00CA0AF9">
        <w:t>Performance Evidence</w:t>
      </w:r>
    </w:p>
    <w:p w:rsidR="00000000" w:rsidRPr="00CA0AF9" w:rsidP="007733CE">
      <w:pPr>
        <w:pStyle w:val="BodyText"/>
      </w:pPr>
      <w:r w:rsidRPr="00CA0AF9">
        <w:t>Before</w:t>
      </w:r>
      <w:r w:rsidRPr="00CA0AF9">
        <w:t xml:space="preserve">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A0AF9" w:rsidP="00CA0AF9">
      <w:pPr>
        <w:pStyle w:val="ListBullet"/>
      </w:pPr>
      <w:r w:rsidRPr="00CA0AF9">
        <w:t>diagnose a complex fault in the air cond</w:t>
      </w:r>
      <w:r w:rsidRPr="00CA0AF9">
        <w:t>itioning and heating, ventilation and air conditioning (HVAC) systems of two different vehicles, vessels or machinery</w:t>
      </w:r>
    </w:p>
    <w:p w:rsidR="00000000" w:rsidRPr="00CA0AF9" w:rsidP="00CA0AF9">
      <w:pPr>
        <w:pStyle w:val="ListBullet"/>
      </w:pPr>
      <w:r w:rsidRPr="00CA0AF9">
        <w:t>the above diagnosis must involve two of the following types of complex faults:</w:t>
      </w:r>
    </w:p>
    <w:p w:rsidR="00000000" w:rsidRPr="00CA0AF9" w:rsidP="00CA0AF9">
      <w:pPr>
        <w:pStyle w:val="ListBullet2"/>
      </w:pPr>
      <w:r w:rsidRPr="00CA0AF9">
        <w:t>an intermittent fault</w:t>
      </w:r>
    </w:p>
    <w:p w:rsidR="00000000" w:rsidRPr="00CA0AF9" w:rsidP="00CA0AF9">
      <w:pPr>
        <w:pStyle w:val="ListBullet2"/>
      </w:pPr>
      <w:r w:rsidRPr="00CA0AF9">
        <w:t>a fault that affects more than one system</w:t>
      </w:r>
    </w:p>
    <w:p w:rsidR="00000000" w:rsidRPr="00CA0AF9" w:rsidP="00CA0AF9">
      <w:pPr>
        <w:pStyle w:val="ListBullet2"/>
      </w:pPr>
      <w:r w:rsidRPr="00CA0AF9">
        <w:t>a fault introduced as a result of a system repair</w:t>
      </w:r>
    </w:p>
    <w:p w:rsidR="00000000" w:rsidRPr="00CA0AF9" w:rsidP="00CA0AF9">
      <w:pPr>
        <w:pStyle w:val="ListBullet2"/>
      </w:pPr>
      <w:r w:rsidRPr="00CA0AF9">
        <w:t>an indirect fault caused by the influence of external systems.</w:t>
      </w:r>
    </w:p>
    <w:p w:rsidR="00000000" w:rsidRPr="00CA0AF9" w:rsidP="00CA0AF9">
      <w:pPr>
        <w:pStyle w:val="AllowPageBreak"/>
      </w:pPr>
    </w:p>
    <w:p w:rsidR="00000000" w:rsidRPr="00CA0AF9" w:rsidP="00CA0AF9">
      <w:pPr>
        <w:pStyle w:val="Heading1"/>
      </w:pPr>
      <w:bookmarkStart w:id="3" w:name="O_773763"/>
      <w:bookmarkEnd w:id="3"/>
      <w:r w:rsidRPr="00CA0AF9">
        <w:t>Knowledge Evidence</w:t>
      </w:r>
    </w:p>
    <w:p w:rsidR="00000000" w:rsidRPr="00CA0AF9" w:rsidP="007733CE">
      <w:pPr>
        <w:pStyle w:val="BodyText"/>
      </w:pPr>
      <w:r w:rsidRPr="00CA0AF9">
        <w:t>Individuals must be able to demonstrate knowledge of:</w:t>
      </w:r>
    </w:p>
    <w:p w:rsidR="00000000" w:rsidRPr="00CA0AF9" w:rsidP="00CA0AF9">
      <w:pPr>
        <w:pStyle w:val="ListBullet"/>
      </w:pPr>
      <w:r w:rsidRPr="00CA0AF9">
        <w:t>work healt</w:t>
      </w:r>
      <w:r w:rsidRPr="00CA0AF9">
        <w:t>h and safety (WHS) and occupational health and safety (OHS) requirements relating to diagnosing complex faults in air conditioning and HVAC systems, including procedures for:</w:t>
      </w:r>
    </w:p>
    <w:p w:rsidR="00000000" w:rsidRPr="00CA0AF9" w:rsidP="00CA0AF9">
      <w:pPr>
        <w:pStyle w:val="ListBullet2"/>
      </w:pPr>
      <w:r w:rsidRPr="00CA0AF9">
        <w:t>identifying hazards and controlling risks associated with wearing jewellery whil</w:t>
      </w:r>
      <w:r w:rsidRPr="00CA0AF9">
        <w:t>e working around high electrical currents</w:t>
      </w:r>
    </w:p>
    <w:p w:rsidR="00000000" w:rsidRPr="00CA0AF9" w:rsidP="00CA0AF9">
      <w:pPr>
        <w:pStyle w:val="ListBullet2"/>
      </w:pPr>
      <w:r w:rsidRPr="00CA0AF9">
        <w:t>working with refrigerants at boiling point given risk of frostbite</w:t>
      </w:r>
    </w:p>
    <w:p w:rsidR="00000000" w:rsidRPr="00CA0AF9" w:rsidP="00CA0AF9">
      <w:pPr>
        <w:pStyle w:val="ListBullet2"/>
      </w:pPr>
      <w:r w:rsidRPr="00CA0AF9">
        <w:t>working with system lubricants, including carcinogenic oils</w:t>
      </w:r>
    </w:p>
    <w:p w:rsidR="00000000" w:rsidRPr="00CA0AF9" w:rsidP="00CA0AF9">
      <w:pPr>
        <w:pStyle w:val="ListBullet2"/>
      </w:pPr>
      <w:r w:rsidRPr="00CA0AF9">
        <w:t>handling flammable refrigerants</w:t>
      </w:r>
    </w:p>
    <w:p w:rsidR="00000000" w:rsidRPr="00CA0AF9" w:rsidP="00CA0AF9">
      <w:pPr>
        <w:pStyle w:val="ListBullet2"/>
      </w:pPr>
      <w:r w:rsidRPr="00CA0AF9">
        <w:t>preventing loss of refrigerant to environment</w:t>
      </w:r>
    </w:p>
    <w:p w:rsidR="00000000" w:rsidRPr="00CA0AF9" w:rsidP="00CA0AF9">
      <w:pPr>
        <w:pStyle w:val="ListBullet2"/>
      </w:pPr>
      <w:r w:rsidRPr="00CA0AF9">
        <w:t>using personal protective equipment (PPE)</w:t>
      </w:r>
    </w:p>
    <w:p w:rsidR="00000000" w:rsidRPr="00CA0AF9" w:rsidP="00CA0AF9">
      <w:pPr>
        <w:pStyle w:val="ListBullet2"/>
      </w:pPr>
      <w:r w:rsidRPr="00CA0AF9">
        <w:t>identifying and using fire safety equipment</w:t>
      </w:r>
    </w:p>
    <w:p w:rsidR="00000000" w:rsidRPr="00CA0AF9" w:rsidP="00CA0AF9">
      <w:pPr>
        <w:pStyle w:val="ListBullet"/>
      </w:pPr>
      <w:r w:rsidRPr="00CA0AF9">
        <w:t xml:space="preserve">environmental requirements, including procedures for preventing loss of refrigerant to the atmosphere </w:t>
      </w:r>
    </w:p>
    <w:p w:rsidR="00000000" w:rsidRPr="00CA0AF9" w:rsidP="00CA0AF9">
      <w:pPr>
        <w:pStyle w:val="ListBullet"/>
      </w:pPr>
      <w:r w:rsidRPr="00CA0AF9">
        <w:t>types of complex faults relating to air conditioning and HVAC syst</w:t>
      </w:r>
      <w:r w:rsidRPr="00CA0AF9">
        <w:t>ems, including:</w:t>
      </w:r>
    </w:p>
    <w:p w:rsidR="00000000" w:rsidRPr="00CA0AF9" w:rsidP="00CA0AF9">
      <w:pPr>
        <w:pStyle w:val="ListBullet2"/>
      </w:pPr>
      <w:r w:rsidRPr="00CA0AF9">
        <w:t>intermittent</w:t>
      </w:r>
    </w:p>
    <w:p w:rsidR="00000000" w:rsidRPr="00CA0AF9" w:rsidP="00CA0AF9">
      <w:pPr>
        <w:pStyle w:val="ListBullet2"/>
      </w:pPr>
      <w:r w:rsidRPr="00CA0AF9">
        <w:t>multi-system</w:t>
      </w:r>
    </w:p>
    <w:p w:rsidR="00000000" w:rsidRPr="00CA0AF9" w:rsidP="00CA0AF9">
      <w:pPr>
        <w:pStyle w:val="ListBullet2"/>
      </w:pPr>
      <w:r w:rsidRPr="00CA0AF9">
        <w:t>introduced as a result of system repair</w:t>
      </w:r>
    </w:p>
    <w:p w:rsidR="00000000" w:rsidRPr="00CA0AF9" w:rsidP="00CA0AF9">
      <w:pPr>
        <w:pStyle w:val="ListBullet2"/>
      </w:pPr>
      <w:r w:rsidRPr="00CA0AF9">
        <w:t>indirect, caused by the influence of external systems</w:t>
      </w:r>
    </w:p>
    <w:p w:rsidR="00000000" w:rsidRPr="00CA0AF9" w:rsidP="00CA0AF9">
      <w:pPr>
        <w:pStyle w:val="ListBullet"/>
      </w:pPr>
      <w:r w:rsidRPr="00CA0AF9">
        <w:t>requirements of Australian automotive code of practice: Control of refrigerant gases during manufacture, installation,</w:t>
      </w:r>
      <w:r w:rsidRPr="00CA0AF9">
        <w:t xml:space="preserve"> servicing or de-commissioning of motor vehicle air conditioners, including procedures for preventing loss of refrigerant to atmosphere</w:t>
      </w:r>
    </w:p>
    <w:p w:rsidR="00000000" w:rsidRPr="00CA0AF9" w:rsidP="00CA0AF9">
      <w:pPr>
        <w:pStyle w:val="ListBullet"/>
      </w:pPr>
      <w:r w:rsidRPr="00CA0AF9">
        <w:t>methods for locating and content of manufacturer specifications, workplace procedures and other technical information re</w:t>
      </w:r>
      <w:r w:rsidRPr="00CA0AF9">
        <w:t>lating to air conditioning and HVAC systems</w:t>
      </w:r>
    </w:p>
    <w:p w:rsidR="00000000" w:rsidRPr="00CA0AF9" w:rsidP="00CA0AF9">
      <w:pPr>
        <w:pStyle w:val="ListBullet"/>
      </w:pPr>
      <w:r w:rsidRPr="00CA0AF9">
        <w:t>types, function and operation of air conditioning and HVAC systems, including:</w:t>
      </w:r>
    </w:p>
    <w:p w:rsidR="00000000" w:rsidRPr="00CA0AF9" w:rsidP="00CA0AF9">
      <w:pPr>
        <w:pStyle w:val="ListBullet2"/>
      </w:pPr>
      <w:r w:rsidRPr="00CA0AF9">
        <w:t>climate control systems</w:t>
      </w:r>
    </w:p>
    <w:p w:rsidR="00000000" w:rsidRPr="00CA0AF9" w:rsidP="00CA0AF9">
      <w:pPr>
        <w:pStyle w:val="ListBullet2"/>
      </w:pPr>
      <w:r w:rsidRPr="00CA0AF9">
        <w:t>single and dual zone systems</w:t>
      </w:r>
    </w:p>
    <w:p w:rsidR="00000000" w:rsidRPr="00CA0AF9" w:rsidP="00CA0AF9">
      <w:pPr>
        <w:pStyle w:val="ListBullet2"/>
      </w:pPr>
      <w:r w:rsidRPr="00CA0AF9">
        <w:t>electric controlled compressor systems</w:t>
      </w:r>
    </w:p>
    <w:p w:rsidR="00000000" w:rsidRPr="00CA0AF9" w:rsidP="00CA0AF9">
      <w:pPr>
        <w:pStyle w:val="ListBullet"/>
      </w:pPr>
      <w:r w:rsidRPr="00CA0AF9">
        <w:t>testing procedures for air conditioning</w:t>
      </w:r>
      <w:r w:rsidRPr="00CA0AF9">
        <w:t xml:space="preserve"> and HVAC systems, including:</w:t>
      </w:r>
    </w:p>
    <w:p w:rsidR="00000000" w:rsidRPr="00CA0AF9" w:rsidP="00CA0AF9">
      <w:pPr>
        <w:pStyle w:val="ListBullet2"/>
      </w:pPr>
      <w:r w:rsidRPr="00CA0AF9">
        <w:t>vehicle HVAC performance testing</w:t>
      </w:r>
    </w:p>
    <w:p w:rsidR="00000000" w:rsidRPr="00CA0AF9" w:rsidP="00CA0AF9">
      <w:pPr>
        <w:pStyle w:val="ListBullet2"/>
      </w:pPr>
      <w:r w:rsidRPr="00CA0AF9">
        <w:t>component failure analysis</w:t>
      </w:r>
    </w:p>
    <w:p w:rsidR="00000000" w:rsidRPr="00CA0AF9" w:rsidP="00CA0AF9">
      <w:pPr>
        <w:pStyle w:val="ListBullet2"/>
      </w:pPr>
      <w:r w:rsidRPr="00CA0AF9">
        <w:t>vehicle continuous and non-continuous monitored systems</w:t>
      </w:r>
    </w:p>
    <w:p w:rsidR="00000000" w:rsidRPr="00CA0AF9" w:rsidP="00CA0AF9">
      <w:pPr>
        <w:pStyle w:val="ListBullet"/>
      </w:pPr>
      <w:r w:rsidRPr="00CA0AF9">
        <w:t>procedures for using testing and diagnostic tools and equipment, including:</w:t>
      </w:r>
    </w:p>
    <w:p w:rsidR="00000000" w:rsidRPr="00CA0AF9" w:rsidP="00CA0AF9">
      <w:pPr>
        <w:pStyle w:val="ListBullet2"/>
      </w:pPr>
      <w:r w:rsidRPr="00CA0AF9">
        <w:t>scan tools</w:t>
      </w:r>
    </w:p>
    <w:p w:rsidR="00000000" w:rsidRPr="00CA0AF9" w:rsidP="00CA0AF9">
      <w:pPr>
        <w:pStyle w:val="ListBullet2"/>
      </w:pPr>
      <w:r w:rsidRPr="00CA0AF9">
        <w:t>oscilloscopes</w:t>
      </w:r>
    </w:p>
    <w:p w:rsidR="00000000" w:rsidRPr="00CA0AF9" w:rsidP="00CA0AF9">
      <w:pPr>
        <w:pStyle w:val="ListBullet2"/>
      </w:pPr>
      <w:r w:rsidRPr="00CA0AF9">
        <w:t>manifold and gauge sets</w:t>
      </w:r>
    </w:p>
    <w:p w:rsidR="00000000" w:rsidRPr="00CA0AF9" w:rsidP="00CA0AF9">
      <w:pPr>
        <w:pStyle w:val="ListBullet2"/>
      </w:pPr>
      <w:r w:rsidRPr="00CA0AF9">
        <w:t>vacuum pumps</w:t>
      </w:r>
    </w:p>
    <w:p w:rsidR="00000000" w:rsidRPr="00CA0AF9" w:rsidP="00CA0AF9">
      <w:pPr>
        <w:pStyle w:val="ListBullet2"/>
      </w:pPr>
      <w:r w:rsidRPr="00CA0AF9">
        <w:t>leak detectors</w:t>
      </w:r>
    </w:p>
    <w:p w:rsidR="00000000" w:rsidRPr="00CA0AF9" w:rsidP="00CA0AF9">
      <w:pPr>
        <w:pStyle w:val="ListBullet2"/>
      </w:pPr>
      <w:r w:rsidRPr="00CA0AF9">
        <w:t>nitrogen cylinder and regulators</w:t>
      </w:r>
    </w:p>
    <w:p w:rsidR="00000000" w:rsidRPr="00CA0AF9" w:rsidP="00CA0AF9">
      <w:pPr>
        <w:pStyle w:val="ListBullet2"/>
      </w:pPr>
      <w:r w:rsidRPr="00CA0AF9">
        <w:t>digital vacuum gauges (vacrometer)</w:t>
      </w:r>
    </w:p>
    <w:p w:rsidR="00000000" w:rsidRPr="00CA0AF9" w:rsidP="00CA0AF9">
      <w:pPr>
        <w:pStyle w:val="ListBullet2"/>
      </w:pPr>
      <w:r w:rsidRPr="00CA0AF9">
        <w:t>digital multimeters</w:t>
      </w:r>
    </w:p>
    <w:p w:rsidR="00000000" w:rsidRPr="00CA0AF9" w:rsidP="00CA0AF9">
      <w:pPr>
        <w:pStyle w:val="ListBullet2"/>
      </w:pPr>
      <w:r w:rsidRPr="00CA0AF9">
        <w:t>infra-red thermometers (pyrometer)</w:t>
      </w:r>
    </w:p>
    <w:p w:rsidR="00000000" w:rsidRPr="00CA0AF9" w:rsidP="00CA0AF9">
      <w:pPr>
        <w:pStyle w:val="ListBullet"/>
      </w:pPr>
      <w:r w:rsidRPr="00CA0AF9">
        <w:t>types, functions, operation and limitations of diagnostic testing equipment requ</w:t>
      </w:r>
      <w:r w:rsidRPr="00CA0AF9">
        <w:t>ired to diagnose complex faults in vehicle air conditioning and HVAC systems</w:t>
      </w:r>
    </w:p>
    <w:p w:rsidR="00000000" w:rsidRPr="00CA0AF9" w:rsidP="00CA0AF9">
      <w:pPr>
        <w:pStyle w:val="ListBullet"/>
      </w:pPr>
      <w:r w:rsidRPr="00CA0AF9">
        <w:t>procedures for accessing and interpreting scan tool system data, including:</w:t>
      </w:r>
    </w:p>
    <w:p w:rsidR="00000000" w:rsidRPr="00CA0AF9" w:rsidP="00CA0AF9">
      <w:pPr>
        <w:pStyle w:val="ListBullet2"/>
      </w:pPr>
      <w:r w:rsidRPr="00CA0AF9">
        <w:t>diagnostic trouble codes (DTCs), including:</w:t>
      </w:r>
    </w:p>
    <w:p w:rsidR="00000000" w:rsidRPr="00CA0AF9" w:rsidP="00CA0AF9">
      <w:pPr>
        <w:pStyle w:val="ListBullet3"/>
      </w:pPr>
      <w:r w:rsidRPr="00CA0AF9">
        <w:t>conditions that set the DTCs</w:t>
      </w:r>
    </w:p>
    <w:p w:rsidR="00000000" w:rsidRPr="00CA0AF9" w:rsidP="00CA0AF9">
      <w:pPr>
        <w:pStyle w:val="ListBullet3"/>
      </w:pPr>
      <w:r w:rsidRPr="00CA0AF9">
        <w:t>conditions for running DTCs</w:t>
      </w:r>
    </w:p>
    <w:p w:rsidR="00000000" w:rsidRPr="00CA0AF9" w:rsidP="00CA0AF9">
      <w:pPr>
        <w:pStyle w:val="ListBullet2"/>
      </w:pPr>
      <w:r w:rsidRPr="00CA0AF9">
        <w:t>live data</w:t>
      </w:r>
    </w:p>
    <w:p w:rsidR="00000000" w:rsidRPr="00CA0AF9" w:rsidP="00CA0AF9">
      <w:pPr>
        <w:pStyle w:val="ListBullet2"/>
      </w:pPr>
      <w:r w:rsidRPr="00CA0AF9">
        <w:t>freeze frame data</w:t>
      </w:r>
    </w:p>
    <w:p w:rsidR="00000000" w:rsidRPr="00CA0AF9" w:rsidP="00CA0AF9">
      <w:pPr>
        <w:pStyle w:val="ListBullet2"/>
      </w:pPr>
      <w:r w:rsidRPr="00CA0AF9">
        <w:t>waveforms</w:t>
      </w:r>
    </w:p>
    <w:p w:rsidR="00000000" w:rsidRPr="00CA0AF9" w:rsidP="00CA0AF9">
      <w:pPr>
        <w:pStyle w:val="ListBullet"/>
      </w:pPr>
      <w:r w:rsidRPr="00CA0AF9">
        <w:t>methods and processes for documenting and reporting diagnostic findings and recommendations.</w:t>
      </w:r>
    </w:p>
    <w:p w:rsidR="00000000" w:rsidRPr="00CA0AF9" w:rsidP="00CA0AF9">
      <w:pPr>
        <w:pStyle w:val="AllowPageBreak"/>
      </w:pPr>
    </w:p>
    <w:p w:rsidR="00000000" w:rsidRPr="00CA0AF9" w:rsidP="00CA0AF9">
      <w:pPr>
        <w:pStyle w:val="Heading1"/>
      </w:pPr>
      <w:bookmarkStart w:id="4" w:name="O_773764"/>
      <w:bookmarkEnd w:id="4"/>
      <w:r w:rsidRPr="00CA0AF9">
        <w:t>Assessment Conditions</w:t>
      </w:r>
    </w:p>
    <w:p w:rsidR="00000000" w:rsidRPr="00CA0AF9" w:rsidP="007733CE">
      <w:pPr>
        <w:pStyle w:val="BodyText"/>
      </w:pPr>
      <w:r w:rsidRPr="00CA0AF9">
        <w:t>Assessors must satisfy NVR/AQTF assessor requirements and hold an Australian Refrigerant Council (ARC) Refrigerant Handling licence.</w:t>
      </w:r>
    </w:p>
    <w:p w:rsidR="00000000" w:rsidRPr="00CA0AF9" w:rsidP="007733CE">
      <w:pPr>
        <w:pStyle w:val="BodyText"/>
      </w:pPr>
      <w:r w:rsidRPr="00CA0AF9">
        <w:t>Competency is to be assessed in the workplace or a simulated environment that accurately reflects performance in a real wo</w:t>
      </w:r>
      <w:r w:rsidRPr="00CA0AF9">
        <w:t>rkplace setting.</w:t>
      </w:r>
    </w:p>
    <w:p w:rsidR="00000000" w:rsidRPr="00CA0AF9" w:rsidP="007733CE">
      <w:pPr>
        <w:pStyle w:val="BodyText"/>
      </w:pPr>
      <w:r w:rsidRPr="00CA0AF9">
        <w:t>Assessment must include direct observation of tasks.</w:t>
      </w:r>
    </w:p>
    <w:p w:rsidR="00000000" w:rsidRPr="00CA0AF9" w:rsidP="007733CE">
      <w:pPr>
        <w:pStyle w:val="BodyText"/>
      </w:pPr>
      <w:r w:rsidRPr="00CA0AF9">
        <w:t xml:space="preserve">Where assessment of competency includes third-party evidence, individuals must provide evidence that links them to the air conditioning and HVAC systems that they have worked on, e.g. </w:t>
      </w:r>
      <w:r w:rsidRPr="00CA0AF9">
        <w:t>repair orders.</w:t>
      </w:r>
    </w:p>
    <w:p w:rsidR="00000000" w:rsidRPr="00CA0AF9" w:rsidP="007733CE">
      <w:pPr>
        <w:pStyle w:val="BodyText"/>
      </w:pPr>
      <w:r w:rsidRPr="00CA0AF9">
        <w:t>Assessors must verify performance evidence through questioning on skills and knowledge to ensure correct interpretation and application.</w:t>
      </w:r>
    </w:p>
    <w:p w:rsidR="00000000" w:rsidRPr="00CA0AF9" w:rsidP="007733CE">
      <w:pPr>
        <w:pStyle w:val="BodyText"/>
      </w:pPr>
      <w:r w:rsidRPr="00CA0AF9">
        <w:t>The following resources must be made available:</w:t>
      </w:r>
    </w:p>
    <w:p w:rsidR="00000000" w:rsidRPr="00CA0AF9" w:rsidP="00CA0AF9">
      <w:pPr>
        <w:pStyle w:val="ListBullet"/>
      </w:pPr>
      <w:r w:rsidRPr="00CA0AF9">
        <w:t>automotive repair workplace or simulated workplace</w:t>
      </w:r>
    </w:p>
    <w:p w:rsidR="00000000" w:rsidRPr="00CA0AF9" w:rsidP="00CA0AF9">
      <w:pPr>
        <w:pStyle w:val="ListBullet"/>
      </w:pPr>
      <w:r w:rsidRPr="00CA0AF9">
        <w:t>wo</w:t>
      </w:r>
      <w:r w:rsidRPr="00CA0AF9">
        <w:t>rkplace instructions</w:t>
      </w:r>
    </w:p>
    <w:p w:rsidR="00000000" w:rsidRPr="00CA0AF9" w:rsidP="00CA0AF9">
      <w:pPr>
        <w:pStyle w:val="ListBullet"/>
      </w:pPr>
      <w:r w:rsidRPr="00CA0AF9">
        <w:t>manufacturer air conditioning and HVAC system specifications</w:t>
      </w:r>
    </w:p>
    <w:p w:rsidR="00000000" w:rsidRPr="00CA0AF9" w:rsidP="00CA0AF9">
      <w:pPr>
        <w:pStyle w:val="ListBullet"/>
      </w:pPr>
      <w:r w:rsidRPr="00CA0AF9">
        <w:t>two different vehicles, vessels or machinery with complex faults in their air conditioning and HVAC systems</w:t>
      </w:r>
    </w:p>
    <w:p w:rsidR="00000000" w:rsidRPr="00CA0AF9" w:rsidP="00CA0AF9">
      <w:pPr>
        <w:pStyle w:val="ListBullet"/>
      </w:pPr>
      <w:r w:rsidRPr="00CA0AF9">
        <w:t>testing and diagnostic tools and equipment appropriate for diagnos</w:t>
      </w:r>
      <w:r w:rsidRPr="00CA0AF9">
        <w:t>ing and repairing complex faults in air conditioning and HVAC systems, including:</w:t>
      </w:r>
    </w:p>
    <w:p w:rsidR="00000000" w:rsidRPr="00CA0AF9" w:rsidP="00CA0AF9">
      <w:pPr>
        <w:pStyle w:val="ListBullet2"/>
      </w:pPr>
      <w:r w:rsidRPr="00CA0AF9">
        <w:t>manifold and gauge sets</w:t>
      </w:r>
    </w:p>
    <w:p w:rsidR="00000000" w:rsidRPr="00CA0AF9" w:rsidP="00CA0AF9">
      <w:pPr>
        <w:pStyle w:val="ListBullet2"/>
      </w:pPr>
      <w:r w:rsidRPr="00CA0AF9">
        <w:t>leak detectors</w:t>
      </w:r>
    </w:p>
    <w:p w:rsidR="00000000" w:rsidRPr="00CA0AF9" w:rsidP="00CA0AF9">
      <w:pPr>
        <w:pStyle w:val="ListBullet2"/>
      </w:pPr>
      <w:r w:rsidRPr="00CA0AF9">
        <w:t>digital multimeters</w:t>
      </w:r>
    </w:p>
    <w:p w:rsidR="00000000" w:rsidRPr="00CA0AF9" w:rsidP="00CA0AF9">
      <w:pPr>
        <w:pStyle w:val="ListBullet2"/>
      </w:pPr>
      <w:r w:rsidRPr="00CA0AF9">
        <w:t xml:space="preserve">thermometers </w:t>
      </w:r>
    </w:p>
    <w:p w:rsidR="00000000" w:rsidRPr="00CA0AF9" w:rsidP="00CA0AF9">
      <w:pPr>
        <w:pStyle w:val="ListBullet"/>
      </w:pPr>
      <w:r w:rsidRPr="00CA0AF9">
        <w:t xml:space="preserve">tools, equipment and materials appropriate for diagnosing complex faults in air conditioning </w:t>
      </w:r>
      <w:r w:rsidRPr="00CA0AF9">
        <w:t>and HVAC systems.</w:t>
      </w:r>
    </w:p>
    <w:p w:rsidR="00000000" w:rsidRPr="00CA0AF9" w:rsidP="00CA0AF9">
      <w:pPr>
        <w:pStyle w:val="AllowPageBreak"/>
      </w:pPr>
    </w:p>
    <w:p w:rsidR="00000000" w:rsidRPr="00CA0AF9" w:rsidP="00CA0AF9">
      <w:pPr>
        <w:pStyle w:val="Heading1"/>
      </w:pPr>
      <w:bookmarkStart w:id="5" w:name="O_773767"/>
      <w:bookmarkEnd w:id="5"/>
      <w:r w:rsidRPr="00CA0AF9">
        <w:t>Links</w:t>
      </w:r>
    </w:p>
    <w:p w:rsidR="00000000" w:rsidRPr="00CA0AF9" w:rsidP="007733CE">
      <w:pPr>
        <w:pStyle w:val="BodyText"/>
      </w:pPr>
      <w:r w:rsidRPr="00CA0A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7062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0AF9" w:rsidP="007733CE">
      <w:pPr>
        <w:pStyle w:val="BodyText"/>
      </w:pPr>
      <w:r w:rsidRPr="00CA0A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7062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0AF9" w:rsidP="00CA0AF9"/>
    <w:sectPr w:rsidSect="00CA0A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F9" w:rsidRPr="007733CE" w:rsidP="007733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CE" w:rsidP="00CA0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33CE" w:rsidP="00CA0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733CE" w:rsidP="00CA0A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AF9" w:rsidRPr="007733CE" w:rsidP="007733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CE" w:rsidRPr="002D2AF8" w:rsidP="00CA0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AURETU006 Diagnose complex faults in air conditioning and HVAC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733CE" w:rsidP="00CA0A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60CF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2AF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46E5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A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A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A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A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A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A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A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A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A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A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A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AF9"/>
  </w:style>
  <w:style w:type="character" w:customStyle="1" w:styleId="Heading1Char">
    <w:name w:val="Heading 1 Char"/>
    <w:basedOn w:val="DefaultParagraphFont"/>
    <w:link w:val="Heading1"/>
    <w:rsid w:val="00CA0A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A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A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AF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0AF9"/>
    <w:rPr>
      <w:b/>
      <w:spacing w:val="0"/>
    </w:rPr>
  </w:style>
  <w:style w:type="paragraph" w:styleId="ListBullet2">
    <w:name w:val="List Bullet 2"/>
    <w:basedOn w:val="List2"/>
    <w:rsid w:val="00CA0AF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0A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A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0AF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0A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A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A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A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A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A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A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A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A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A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A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A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A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A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A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A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0A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A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A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0A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A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A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A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A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A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A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A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A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AF9"/>
    <w:rPr>
      <w:i/>
    </w:rPr>
  </w:style>
  <w:style w:type="paragraph" w:styleId="Caption">
    <w:name w:val="caption"/>
    <w:basedOn w:val="BodyText"/>
    <w:next w:val="Normal"/>
    <w:qFormat/>
    <w:rsid w:val="00CA0A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A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A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AF9"/>
  </w:style>
  <w:style w:type="paragraph" w:styleId="TableofFigures">
    <w:name w:val="table of figures"/>
    <w:basedOn w:val="Normal"/>
    <w:next w:val="Normal"/>
    <w:semiHidden/>
    <w:rsid w:val="00CA0A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AF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0AF9"/>
    <w:rPr>
      <w:rFonts w:ascii="Wingdings" w:hAnsi="Wingdings"/>
    </w:rPr>
  </w:style>
  <w:style w:type="paragraph" w:customStyle="1" w:styleId="TableHeading">
    <w:name w:val="Table Heading"/>
    <w:basedOn w:val="HeadingBase"/>
    <w:rsid w:val="00CA0A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AF9"/>
    <w:rPr>
      <w:color w:val="0033CC"/>
      <w:u w:val="none"/>
    </w:rPr>
  </w:style>
  <w:style w:type="paragraph" w:customStyle="1" w:styleId="BodyTextRight">
    <w:name w:val="Body Text Right"/>
    <w:basedOn w:val="BodyText"/>
    <w:rsid w:val="00CA0A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A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AF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A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A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A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AF9"/>
    <w:rPr>
      <w:sz w:val="32"/>
    </w:rPr>
  </w:style>
  <w:style w:type="paragraph" w:customStyle="1" w:styleId="HeadingProcedure">
    <w:name w:val="Heading Procedure"/>
    <w:basedOn w:val="HeadingBase"/>
    <w:next w:val="Normal"/>
    <w:rsid w:val="00CA0A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AF9"/>
    <w:pPr>
      <w:spacing w:before="60" w:after="60"/>
    </w:pPr>
  </w:style>
  <w:style w:type="paragraph" w:styleId="ListContinue">
    <w:name w:val="List Continue"/>
    <w:basedOn w:val="List"/>
    <w:rsid w:val="00CA0AF9"/>
    <w:pPr>
      <w:ind w:firstLine="0"/>
    </w:pPr>
  </w:style>
  <w:style w:type="paragraph" w:customStyle="1" w:styleId="ListNote">
    <w:name w:val="List Note"/>
    <w:basedOn w:val="List"/>
    <w:rsid w:val="00CA0A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A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A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AF9"/>
    <w:rPr>
      <w:rFonts w:ascii="Courier New" w:hAnsi="Courier New"/>
    </w:rPr>
  </w:style>
  <w:style w:type="paragraph" w:customStyle="1" w:styleId="NoteBullet">
    <w:name w:val="Note Bullet"/>
    <w:basedOn w:val="Note"/>
    <w:rsid w:val="00CA0A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A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A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A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AF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0A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A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AF9"/>
    <w:rPr>
      <w:b/>
      <w:smallCaps/>
    </w:rPr>
  </w:style>
  <w:style w:type="paragraph" w:customStyle="1" w:styleId="TableListNumber">
    <w:name w:val="Table List Number"/>
    <w:basedOn w:val="ListNumber"/>
    <w:rsid w:val="00CA0A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A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AF9"/>
    <w:pPr>
      <w:numPr>
        <w:numId w:val="10"/>
      </w:numPr>
    </w:pPr>
  </w:style>
  <w:style w:type="paragraph" w:customStyle="1" w:styleId="ListAlpha2">
    <w:name w:val="List Alpha 2"/>
    <w:basedOn w:val="List2"/>
    <w:rsid w:val="00CA0AF9"/>
    <w:pPr>
      <w:numPr>
        <w:numId w:val="9"/>
      </w:numPr>
    </w:pPr>
  </w:style>
  <w:style w:type="paragraph" w:styleId="List2">
    <w:name w:val="List 2"/>
    <w:basedOn w:val="BodyText"/>
    <w:rsid w:val="00CA0A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A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A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AF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0AF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0AF9"/>
    <w:pPr>
      <w:numPr>
        <w:numId w:val="5"/>
      </w:numPr>
    </w:pPr>
  </w:style>
  <w:style w:type="paragraph" w:styleId="ListContinue2">
    <w:name w:val="List Continue 2"/>
    <w:basedOn w:val="List2"/>
    <w:rsid w:val="00CA0AF9"/>
    <w:pPr>
      <w:ind w:firstLine="0"/>
    </w:pPr>
  </w:style>
  <w:style w:type="paragraph" w:styleId="ListContinue3">
    <w:name w:val="List Continue 3"/>
    <w:basedOn w:val="List3"/>
    <w:rsid w:val="00CA0AF9"/>
    <w:pPr>
      <w:ind w:left="1021" w:firstLine="0"/>
    </w:pPr>
  </w:style>
  <w:style w:type="paragraph" w:styleId="ListContinue4">
    <w:name w:val="List Continue 4"/>
    <w:basedOn w:val="List4"/>
    <w:rsid w:val="00CA0AF9"/>
    <w:pPr>
      <w:ind w:firstLine="0"/>
    </w:pPr>
  </w:style>
  <w:style w:type="paragraph" w:styleId="ListContinue5">
    <w:name w:val="List Continue 5"/>
    <w:basedOn w:val="List5"/>
    <w:rsid w:val="00CA0AF9"/>
    <w:pPr>
      <w:ind w:firstLine="0"/>
    </w:pPr>
  </w:style>
  <w:style w:type="paragraph" w:styleId="ListNumber3">
    <w:name w:val="List Number 3"/>
    <w:basedOn w:val="List3"/>
    <w:rsid w:val="00CA0AF9"/>
    <w:pPr>
      <w:numPr>
        <w:numId w:val="6"/>
      </w:numPr>
    </w:pPr>
  </w:style>
  <w:style w:type="paragraph" w:styleId="ListNumber4">
    <w:name w:val="List Number 4"/>
    <w:basedOn w:val="List4"/>
    <w:rsid w:val="00CA0AF9"/>
    <w:pPr>
      <w:numPr>
        <w:numId w:val="7"/>
      </w:numPr>
    </w:pPr>
  </w:style>
  <w:style w:type="paragraph" w:styleId="ListNumber5">
    <w:name w:val="List Number 5"/>
    <w:basedOn w:val="List5"/>
    <w:rsid w:val="00CA0AF9"/>
    <w:pPr>
      <w:numPr>
        <w:numId w:val="8"/>
      </w:numPr>
    </w:pPr>
  </w:style>
  <w:style w:type="paragraph" w:styleId="BlockText">
    <w:name w:val="Block Text"/>
    <w:basedOn w:val="Normal"/>
    <w:rsid w:val="00CA0A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A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AF9"/>
    <w:rPr>
      <w:sz w:val="16"/>
      <w:vertAlign w:val="superscript"/>
    </w:rPr>
  </w:style>
  <w:style w:type="character" w:customStyle="1" w:styleId="Symbols">
    <w:name w:val="Symbols"/>
    <w:basedOn w:val="DefaultParagraphFont"/>
    <w:rsid w:val="00CA0AF9"/>
    <w:rPr>
      <w:rFonts w:ascii="Symbol" w:hAnsi="Symbol"/>
    </w:rPr>
  </w:style>
  <w:style w:type="character" w:customStyle="1" w:styleId="MenuOptions">
    <w:name w:val="Menu Options"/>
    <w:basedOn w:val="DefaultParagraphFont"/>
    <w:rsid w:val="00CA0A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AF9"/>
    <w:rPr>
      <w:b/>
    </w:rPr>
  </w:style>
  <w:style w:type="character" w:customStyle="1" w:styleId="Underlined">
    <w:name w:val="Underlined"/>
    <w:basedOn w:val="DefaultParagraphFont"/>
    <w:rsid w:val="00CA0AF9"/>
    <w:rPr>
      <w:u w:val="single"/>
    </w:rPr>
  </w:style>
  <w:style w:type="paragraph" w:customStyle="1" w:styleId="TableBodyTextRight">
    <w:name w:val="Table Body Text Right"/>
    <w:basedOn w:val="TableBodyText"/>
    <w:rsid w:val="00CA0A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AF9"/>
    <w:rPr>
      <w:sz w:val="18"/>
    </w:rPr>
  </w:style>
  <w:style w:type="paragraph" w:customStyle="1" w:styleId="BodySmallRight">
    <w:name w:val="Body Small Right"/>
    <w:basedOn w:val="BodyTextRight"/>
    <w:rsid w:val="00CA0AF9"/>
    <w:rPr>
      <w:sz w:val="18"/>
      <w:szCs w:val="18"/>
    </w:rPr>
  </w:style>
  <w:style w:type="paragraph" w:customStyle="1" w:styleId="MarginEdition">
    <w:name w:val="Margin Edition"/>
    <w:basedOn w:val="MarginNote"/>
    <w:rsid w:val="00CA0A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AF9"/>
    <w:rPr>
      <w:sz w:val="2"/>
      <w:szCs w:val="2"/>
    </w:rPr>
  </w:style>
  <w:style w:type="character" w:customStyle="1" w:styleId="Small">
    <w:name w:val="Small"/>
    <w:basedOn w:val="DefaultParagraphFont"/>
    <w:rsid w:val="00CA0AF9"/>
    <w:rPr>
      <w:sz w:val="16"/>
    </w:rPr>
  </w:style>
  <w:style w:type="paragraph" w:customStyle="1" w:styleId="WideTable">
    <w:name w:val="Wide Table"/>
    <w:basedOn w:val="Normal"/>
    <w:rsid w:val="00CA0A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AF9"/>
  </w:style>
  <w:style w:type="paragraph" w:styleId="Quote">
    <w:name w:val="Quote"/>
    <w:basedOn w:val="Heading1"/>
    <w:link w:val="QuoteChar"/>
    <w:qFormat/>
    <w:rsid w:val="00CA0A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A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AF9"/>
    <w:pPr>
      <w:pageBreakBefore/>
    </w:pPr>
  </w:style>
  <w:style w:type="paragraph" w:customStyle="1" w:styleId="Border">
    <w:name w:val="Border"/>
    <w:basedOn w:val="Normal"/>
    <w:qFormat/>
    <w:rsid w:val="00CA0A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A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A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A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A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A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A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A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A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AF9"/>
    <w:rPr>
      <w:u w:val="single"/>
    </w:rPr>
  </w:style>
  <w:style w:type="character" w:customStyle="1" w:styleId="BoldandItalics">
    <w:name w:val="Bold and Italics"/>
    <w:qFormat/>
    <w:rsid w:val="00CA0AF9"/>
    <w:rPr>
      <w:b/>
      <w:i/>
      <w:u w:val="none"/>
    </w:rPr>
  </w:style>
  <w:style w:type="paragraph" w:styleId="BalloonText">
    <w:name w:val="Balloon Text"/>
    <w:basedOn w:val="Normal"/>
    <w:link w:val="BalloonTextChar"/>
    <w:rsid w:val="00CA0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A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A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A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A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A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AF9"/>
    <w:pPr>
      <w:spacing w:before="0" w:after="0"/>
    </w:pPr>
  </w:style>
  <w:style w:type="paragraph" w:customStyle="1" w:styleId="BodyTextBold">
    <w:name w:val="Body Text Bold"/>
    <w:basedOn w:val="BodyText"/>
    <w:qFormat/>
    <w:rsid w:val="00CA0AF9"/>
    <w:rPr>
      <w:b/>
    </w:rPr>
  </w:style>
  <w:style w:type="character" w:styleId="Hyperlink">
    <w:name w:val="Hyperlink"/>
    <w:basedOn w:val="DefaultParagraphFont"/>
    <w:uiPriority w:val="99"/>
    <w:unhideWhenUsed/>
    <w:rsid w:val="007733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4627</Characters>
  <Application>Microsoft Office Word</Application>
  <DocSecurity>0</DocSecurity>
  <Lines>125</Lines>
  <Paragraphs>96</Paragraphs>
  <ScaleCrop>false</ScaleCrop>
  <Company>Author-it Software Corporation Ltd.</Company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AURETU006 Diagnose complex faults in air conditioning and HVAC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