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EAC" w:rsidP="00844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AURETU002 Recover vehicle refrigerants</w:t>
      </w:r>
      <w:r>
        <w:fldChar w:fldCharType="end"/>
      </w:r>
    </w:p>
    <w:p w:rsidR="00844EAC" w:rsidP="00844EAC">
      <w:pPr>
        <w:pStyle w:val="Version"/>
        <w:sectPr w:rsidSect="001C0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F7B" w:rsidP="001C0F7B">
      <w:pPr>
        <w:pStyle w:val="SuperHeading"/>
      </w:pPr>
      <w:r w:rsidRPr="001C0F7B">
        <w:t>Assessment Requirements for AURETU002 Recover vehicle refrigerants</w:t>
      </w:r>
    </w:p>
    <w:p w:rsidR="00000000" w:rsidRPr="001C0F7B" w:rsidP="001C0F7B">
      <w:pPr>
        <w:pStyle w:val="Heading1"/>
      </w:pPr>
      <w:bookmarkStart w:id="1" w:name="O_794776"/>
      <w:bookmarkEnd w:id="1"/>
      <w:r w:rsidRPr="001C0F7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44E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7B" w:rsidP="001C0F7B">
            <w:pPr>
              <w:pStyle w:val="BodyText"/>
            </w:pPr>
            <w:r w:rsidRPr="001C0F7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7B">
            <w:pPr>
              <w:pStyle w:val="BodyText"/>
              <w:rPr>
                <w:lang w:val="en-NZ"/>
              </w:rPr>
            </w:pPr>
            <w:r w:rsidRPr="001C0F7B">
              <w:rPr>
                <w:rStyle w:val="SpecialBold"/>
              </w:rPr>
              <w:t>Comment</w:t>
            </w:r>
          </w:p>
        </w:tc>
      </w:tr>
      <w:tr w:rsidTr="00844E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7B">
            <w:pPr>
              <w:pStyle w:val="BodyText"/>
              <w:rPr>
                <w:lang w:val="en-NZ"/>
              </w:rPr>
            </w:pPr>
            <w:r w:rsidRPr="001C0F7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7B" w:rsidP="001C0F7B">
            <w:pPr>
              <w:pStyle w:val="BodyText"/>
            </w:pPr>
            <w:r w:rsidRPr="001C0F7B">
              <w:t>New unit of competency.</w:t>
            </w:r>
          </w:p>
        </w:tc>
      </w:tr>
    </w:tbl>
    <w:p w:rsidR="00000000" w:rsidRPr="001C0F7B" w:rsidP="001C0F7B">
      <w:pPr>
        <w:pStyle w:val="BodyText"/>
      </w:pPr>
    </w:p>
    <w:p w:rsidR="00000000" w:rsidRPr="001C0F7B" w:rsidP="001C0F7B">
      <w:pPr>
        <w:pStyle w:val="AllowPageBreak"/>
      </w:pPr>
    </w:p>
    <w:p w:rsidR="00000000" w:rsidRPr="001C0F7B" w:rsidP="001C0F7B">
      <w:pPr>
        <w:pStyle w:val="Heading1"/>
      </w:pPr>
      <w:bookmarkStart w:id="2" w:name="O_794777"/>
      <w:bookmarkEnd w:id="2"/>
      <w:r w:rsidRPr="001C0F7B">
        <w:t>Performance Evidence</w:t>
      </w:r>
    </w:p>
    <w:p w:rsidR="00000000" w:rsidRPr="001C0F7B" w:rsidP="00844EAC">
      <w:pPr>
        <w:pStyle w:val="BodyText"/>
      </w:pPr>
      <w:r w:rsidRPr="001C0F7B">
        <w:t>Before competency can be determined, i</w:t>
      </w:r>
      <w:r w:rsidRPr="001C0F7B">
        <w:t>ndividuals must demonstrate they can perform the following according to the standard defined in the unit’s elements, performance criteria, range of conditions and foundation skills:</w:t>
      </w:r>
    </w:p>
    <w:p w:rsidR="00000000" w:rsidRPr="001C0F7B" w:rsidP="001C0F7B">
      <w:pPr>
        <w:pStyle w:val="ListBullet"/>
      </w:pPr>
      <w:r w:rsidRPr="001C0F7B">
        <w:t xml:space="preserve">recover vehicle refrigerants from three different vehicles or machinery, </w:t>
      </w:r>
      <w:r w:rsidRPr="001C0F7B">
        <w:t>in which the work must involve one of the following refrigerant types:</w:t>
      </w:r>
    </w:p>
    <w:p w:rsidR="00000000" w:rsidRPr="001C0F7B" w:rsidP="001C0F7B">
      <w:pPr>
        <w:pStyle w:val="ListBullet2"/>
      </w:pPr>
      <w:r w:rsidRPr="001C0F7B">
        <w:t>synthetic greenhouse and ozone depleting (SGOD) refrigerant</w:t>
      </w:r>
    </w:p>
    <w:p w:rsidR="00000000" w:rsidRPr="001C0F7B" w:rsidP="001C0F7B">
      <w:pPr>
        <w:pStyle w:val="ListBullet2"/>
      </w:pPr>
      <w:r w:rsidRPr="001C0F7B">
        <w:t>hydrocarbon (HC) refrigerant</w:t>
      </w:r>
    </w:p>
    <w:p w:rsidR="00000000" w:rsidRPr="001C0F7B" w:rsidP="001C0F7B">
      <w:pPr>
        <w:pStyle w:val="ListBullet2"/>
      </w:pPr>
      <w:r w:rsidRPr="001C0F7B">
        <w:t>a mixture of SGOD and HC refrigerant.</w:t>
      </w:r>
    </w:p>
    <w:p w:rsidR="00000000" w:rsidRPr="001C0F7B" w:rsidP="001C0F7B">
      <w:pPr>
        <w:pStyle w:val="AllowPageBreak"/>
      </w:pPr>
    </w:p>
    <w:p w:rsidR="00000000" w:rsidRPr="001C0F7B" w:rsidP="001C0F7B">
      <w:pPr>
        <w:pStyle w:val="Heading1"/>
      </w:pPr>
      <w:bookmarkStart w:id="3" w:name="O_794778"/>
      <w:bookmarkEnd w:id="3"/>
      <w:r w:rsidRPr="001C0F7B">
        <w:t>Knowledge Evidence</w:t>
      </w:r>
    </w:p>
    <w:p w:rsidR="00000000" w:rsidRPr="001C0F7B" w:rsidP="00844EAC">
      <w:pPr>
        <w:pStyle w:val="BodyText"/>
      </w:pPr>
      <w:r w:rsidRPr="001C0F7B">
        <w:t>Individuals must be able to demonstrate knowledge of:</w:t>
      </w:r>
    </w:p>
    <w:p w:rsidR="00000000" w:rsidRPr="001C0F7B" w:rsidP="001C0F7B">
      <w:pPr>
        <w:pStyle w:val="ListBullet"/>
      </w:pPr>
      <w:r w:rsidRPr="001C0F7B">
        <w:t>work health and safety (WHS) and occupational health and safety (OHS) requirements relating to safety requirements for recovering vehicle refrigerants, including procedures for:</w:t>
      </w:r>
    </w:p>
    <w:p w:rsidR="00000000" w:rsidRPr="001C0F7B" w:rsidP="001C0F7B">
      <w:pPr>
        <w:pStyle w:val="ListBullet2"/>
      </w:pPr>
      <w:r w:rsidRPr="001C0F7B">
        <w:t>working with refrigera</w:t>
      </w:r>
      <w:r w:rsidRPr="001C0F7B">
        <w:t>nts at boiling point given risk of frostbite</w:t>
      </w:r>
    </w:p>
    <w:p w:rsidR="00000000" w:rsidRPr="001C0F7B" w:rsidP="001C0F7B">
      <w:pPr>
        <w:pStyle w:val="ListBullet2"/>
      </w:pPr>
      <w:r w:rsidRPr="001C0F7B">
        <w:t>working with system lubricants, including carcinogenic oils</w:t>
      </w:r>
    </w:p>
    <w:p w:rsidR="00000000" w:rsidRPr="001C0F7B" w:rsidP="001C0F7B">
      <w:pPr>
        <w:pStyle w:val="ListBullet2"/>
      </w:pPr>
      <w:r w:rsidRPr="001C0F7B">
        <w:t>handling flammable refrigerants</w:t>
      </w:r>
    </w:p>
    <w:p w:rsidR="00000000" w:rsidRPr="001C0F7B" w:rsidP="001C0F7B">
      <w:pPr>
        <w:pStyle w:val="ListBullet2"/>
      </w:pPr>
      <w:r w:rsidRPr="001C0F7B">
        <w:t>selecting and using personal protective equipment (PPE)</w:t>
      </w:r>
    </w:p>
    <w:p w:rsidR="00000000" w:rsidRPr="001C0F7B" w:rsidP="001C0F7B">
      <w:pPr>
        <w:pStyle w:val="ListBullet2"/>
      </w:pPr>
      <w:r w:rsidRPr="001C0F7B">
        <w:t>identifying firefighting equipment</w:t>
      </w:r>
    </w:p>
    <w:p w:rsidR="00000000" w:rsidRPr="001C0F7B" w:rsidP="001C0F7B">
      <w:pPr>
        <w:pStyle w:val="ListBullet"/>
      </w:pPr>
      <w:r w:rsidRPr="001C0F7B">
        <w:t xml:space="preserve">environmental requirements </w:t>
      </w:r>
      <w:r w:rsidRPr="001C0F7B">
        <w:t>associated with refrigerant recovery and refrigerant waste disposal, including procedures for:</w:t>
      </w:r>
    </w:p>
    <w:p w:rsidR="00000000" w:rsidRPr="001C0F7B" w:rsidP="001C0F7B">
      <w:pPr>
        <w:pStyle w:val="ListBullet2"/>
      </w:pPr>
      <w:r w:rsidRPr="001C0F7B">
        <w:t>preventing loss of refrigerant to the atmosphere</w:t>
      </w:r>
    </w:p>
    <w:p w:rsidR="00000000" w:rsidRPr="001C0F7B" w:rsidP="001C0F7B">
      <w:pPr>
        <w:pStyle w:val="ListBullet2"/>
      </w:pPr>
      <w:r w:rsidRPr="001C0F7B">
        <w:t>storing and transporting refrigerants</w:t>
      </w:r>
    </w:p>
    <w:p w:rsidR="00000000" w:rsidRPr="001C0F7B" w:rsidP="001C0F7B">
      <w:pPr>
        <w:pStyle w:val="ListBullet"/>
      </w:pPr>
      <w:r w:rsidRPr="001C0F7B">
        <w:t>Australian automotive code of practice: Control of refrigerant gases during manufacture, installation, servicing or de-commissioning of motor vehicle air conditioners</w:t>
      </w:r>
    </w:p>
    <w:p w:rsidR="00000000" w:rsidRPr="001C0F7B" w:rsidP="001C0F7B">
      <w:pPr>
        <w:pStyle w:val="ListBullet"/>
      </w:pPr>
      <w:r w:rsidRPr="001C0F7B">
        <w:t>key features of various types of refrigerants and oils found in automotive vehicle and eq</w:t>
      </w:r>
      <w:r w:rsidRPr="001C0F7B">
        <w:t>uipment HVAC systems, including:</w:t>
      </w:r>
    </w:p>
    <w:p w:rsidR="00000000" w:rsidRPr="001C0F7B" w:rsidP="001C0F7B">
      <w:pPr>
        <w:pStyle w:val="ListBullet2"/>
      </w:pPr>
      <w:r w:rsidRPr="001C0F7B">
        <w:t>synthetic SGOD refrigerants, including:</w:t>
      </w:r>
    </w:p>
    <w:p w:rsidR="00000000" w:rsidRPr="001C0F7B" w:rsidP="001C0F7B">
      <w:pPr>
        <w:pStyle w:val="ListBullet3"/>
      </w:pPr>
      <w:r w:rsidRPr="001C0F7B">
        <w:t>chlorofluorocarbons (CFC)</w:t>
      </w:r>
    </w:p>
    <w:p w:rsidR="00000000" w:rsidRPr="001C0F7B" w:rsidP="001C0F7B">
      <w:pPr>
        <w:pStyle w:val="ListBullet3"/>
      </w:pPr>
      <w:r w:rsidRPr="001C0F7B">
        <w:t>hydrofluorocarbons (HCFC)</w:t>
      </w:r>
    </w:p>
    <w:p w:rsidR="00000000" w:rsidRPr="001C0F7B" w:rsidP="001C0F7B">
      <w:pPr>
        <w:pStyle w:val="ListBullet2"/>
      </w:pPr>
      <w:r w:rsidRPr="001C0F7B">
        <w:t>HC refrigerants</w:t>
      </w:r>
    </w:p>
    <w:p w:rsidR="00000000" w:rsidRPr="001C0F7B" w:rsidP="001C0F7B">
      <w:pPr>
        <w:pStyle w:val="ListBullet2"/>
      </w:pPr>
      <w:r w:rsidRPr="001C0F7B">
        <w:t>mineral and synthetic refrigerant oils</w:t>
      </w:r>
    </w:p>
    <w:p w:rsidR="00000000" w:rsidRPr="001C0F7B" w:rsidP="001C0F7B">
      <w:pPr>
        <w:pStyle w:val="ListBullet"/>
      </w:pPr>
      <w:r w:rsidRPr="001C0F7B">
        <w:t>types, application and operation of refrigerant recovery equipment, including:</w:t>
      </w:r>
    </w:p>
    <w:p w:rsidR="00000000" w:rsidRPr="001C0F7B" w:rsidP="001C0F7B">
      <w:pPr>
        <w:pStyle w:val="ListBullet2"/>
      </w:pPr>
      <w:r w:rsidRPr="001C0F7B">
        <w:t>manifold and gauge set</w:t>
      </w:r>
    </w:p>
    <w:p w:rsidR="00000000" w:rsidRPr="001C0F7B" w:rsidP="001C0F7B">
      <w:pPr>
        <w:pStyle w:val="ListBullet2"/>
      </w:pPr>
      <w:r w:rsidRPr="001C0F7B">
        <w:t>recovery unit</w:t>
      </w:r>
    </w:p>
    <w:p w:rsidR="00000000" w:rsidRPr="001C0F7B" w:rsidP="001C0F7B">
      <w:pPr>
        <w:pStyle w:val="ListBullet2"/>
      </w:pPr>
      <w:r w:rsidRPr="001C0F7B">
        <w:t>types of recovery cylinders</w:t>
      </w:r>
    </w:p>
    <w:p w:rsidR="00000000" w:rsidRPr="001C0F7B" w:rsidP="001C0F7B">
      <w:pPr>
        <w:pStyle w:val="ListBullet"/>
      </w:pPr>
      <w:r w:rsidRPr="001C0F7B">
        <w:t>procedures for recovering automotive refrigerant, including:</w:t>
      </w:r>
    </w:p>
    <w:p w:rsidR="00000000" w:rsidRPr="001C0F7B" w:rsidP="001C0F7B">
      <w:pPr>
        <w:pStyle w:val="ListBullet2"/>
      </w:pPr>
      <w:r w:rsidRPr="001C0F7B">
        <w:t>testing refrigerant to determine its type</w:t>
      </w:r>
    </w:p>
    <w:p w:rsidR="00000000" w:rsidRPr="001C0F7B" w:rsidP="001C0F7B">
      <w:pPr>
        <w:pStyle w:val="ListBullet2"/>
      </w:pPr>
      <w:r w:rsidRPr="001C0F7B">
        <w:t>connec</w:t>
      </w:r>
      <w:r w:rsidRPr="001C0F7B">
        <w:t>ting manifold and gauge set and recovery unit, including types and location of service ports</w:t>
      </w:r>
    </w:p>
    <w:p w:rsidR="00000000" w:rsidRPr="001C0F7B" w:rsidP="001C0F7B">
      <w:pPr>
        <w:pStyle w:val="ListBullet2"/>
      </w:pPr>
      <w:r w:rsidRPr="001C0F7B">
        <w:t>identifying recovery cylinder appropriate to the refrigerant</w:t>
      </w:r>
    </w:p>
    <w:p w:rsidR="00000000" w:rsidRPr="001C0F7B" w:rsidP="001C0F7B">
      <w:pPr>
        <w:pStyle w:val="ListBullet2"/>
      </w:pPr>
      <w:r w:rsidRPr="001C0F7B">
        <w:t>operating recovery unit, including weighing recovery cylinder before and after recovery</w:t>
      </w:r>
    </w:p>
    <w:p w:rsidR="00000000" w:rsidRPr="001C0F7B" w:rsidP="001C0F7B">
      <w:pPr>
        <w:pStyle w:val="ListBullet2"/>
      </w:pPr>
      <w:r w:rsidRPr="001C0F7B">
        <w:t xml:space="preserve">disconnecting </w:t>
      </w:r>
      <w:r w:rsidRPr="001C0F7B">
        <w:t>and storing recovery unit and cylinder</w:t>
      </w:r>
    </w:p>
    <w:p w:rsidR="00000000" w:rsidRPr="001C0F7B" w:rsidP="001C0F7B">
      <w:pPr>
        <w:pStyle w:val="ListBullet"/>
      </w:pPr>
      <w:r w:rsidRPr="001C0F7B">
        <w:t>work completion procedures for recovering vehicle refrigerant, including:</w:t>
      </w:r>
    </w:p>
    <w:p w:rsidR="00000000" w:rsidRPr="001C0F7B" w:rsidP="001C0F7B">
      <w:pPr>
        <w:pStyle w:val="ListBullet2"/>
      </w:pPr>
      <w:r w:rsidRPr="001C0F7B">
        <w:t>work area clean-up and maintenance requirements</w:t>
      </w:r>
    </w:p>
    <w:p w:rsidR="00000000" w:rsidRPr="001C0F7B" w:rsidP="001C0F7B">
      <w:pPr>
        <w:pStyle w:val="ListBullet2"/>
      </w:pPr>
      <w:r w:rsidRPr="001C0F7B">
        <w:t>workplace regulatory documentation to be completed</w:t>
      </w:r>
    </w:p>
    <w:p w:rsidR="00000000" w:rsidRPr="001C0F7B" w:rsidP="001C0F7B">
      <w:pPr>
        <w:pStyle w:val="ListBullet"/>
      </w:pPr>
      <w:r w:rsidRPr="001C0F7B">
        <w:t>completing workplace documentation, inclu</w:t>
      </w:r>
      <w:r w:rsidRPr="001C0F7B">
        <w:t>ding Australian Refrigeration Council accredited (ARCtick) service decal sticker.</w:t>
      </w:r>
    </w:p>
    <w:p w:rsidR="00000000" w:rsidRPr="001C0F7B" w:rsidP="001C0F7B">
      <w:pPr>
        <w:pStyle w:val="AllowPageBreak"/>
      </w:pPr>
    </w:p>
    <w:p w:rsidR="00000000" w:rsidRPr="001C0F7B" w:rsidP="001C0F7B">
      <w:pPr>
        <w:pStyle w:val="Heading1"/>
      </w:pPr>
      <w:bookmarkStart w:id="4" w:name="O_794779"/>
      <w:bookmarkEnd w:id="4"/>
      <w:r w:rsidRPr="001C0F7B">
        <w:t>Assessment Conditions</w:t>
      </w:r>
    </w:p>
    <w:p w:rsidR="00000000" w:rsidRPr="001C0F7B" w:rsidP="00844EAC">
      <w:pPr>
        <w:pStyle w:val="BodyText"/>
      </w:pPr>
      <w:r w:rsidRPr="001C0F7B">
        <w:t>Assessors must satisfy NVR/AQTF assessor requirements and hold an Australian Refrigerant Council (ARC) Refrigerant Handling licence.</w:t>
      </w:r>
    </w:p>
    <w:p w:rsidR="00000000" w:rsidRPr="001C0F7B" w:rsidP="00844EAC">
      <w:pPr>
        <w:pStyle w:val="BodyText"/>
      </w:pPr>
      <w:r w:rsidRPr="001C0F7B">
        <w:t>Competency is to be assessed in the workplace or a simulated environment that accurately reflects performance in a real workplace setting.</w:t>
      </w:r>
    </w:p>
    <w:p w:rsidR="00000000" w:rsidRPr="001C0F7B" w:rsidP="00844EAC">
      <w:pPr>
        <w:pStyle w:val="BodyText"/>
      </w:pPr>
      <w:r w:rsidRPr="001C0F7B">
        <w:t>Assessment must include direct observation of tasks.</w:t>
      </w:r>
    </w:p>
    <w:p w:rsidR="00000000" w:rsidRPr="001C0F7B" w:rsidP="00844EAC">
      <w:pPr>
        <w:pStyle w:val="BodyText"/>
      </w:pPr>
      <w:r w:rsidRPr="001C0F7B">
        <w:t xml:space="preserve">Where assessment of competency includes third-party evidence, </w:t>
      </w:r>
      <w:r w:rsidRPr="001C0F7B">
        <w:t>individuals must provide evidence that links them to vehicle refrigerant that they have recovered from HVAC systems, e.g. repair orders.</w:t>
      </w:r>
    </w:p>
    <w:p w:rsidR="00000000" w:rsidRPr="001C0F7B" w:rsidP="00844EAC">
      <w:pPr>
        <w:pStyle w:val="BodyText"/>
      </w:pPr>
      <w:r w:rsidRPr="001C0F7B">
        <w:t>Assessors must verify performance evidence through questioning on skills and knowledge to ensure correct interpretatio</w:t>
      </w:r>
      <w:r w:rsidRPr="001C0F7B">
        <w:t>n and application.</w:t>
      </w:r>
    </w:p>
    <w:p w:rsidR="00000000" w:rsidRPr="001C0F7B" w:rsidP="00844EAC">
      <w:pPr>
        <w:pStyle w:val="BodyText"/>
      </w:pPr>
      <w:r w:rsidRPr="001C0F7B">
        <w:t>The following resources must be made available:</w:t>
      </w:r>
    </w:p>
    <w:p w:rsidR="00000000" w:rsidRPr="001C0F7B" w:rsidP="001C0F7B">
      <w:pPr>
        <w:pStyle w:val="ListBullet"/>
      </w:pPr>
      <w:r w:rsidRPr="001C0F7B">
        <w:t>automotive workplace, parts recycling yard or simulated workplace</w:t>
      </w:r>
    </w:p>
    <w:p w:rsidR="00000000" w:rsidRPr="001C0F7B" w:rsidP="001C0F7B">
      <w:pPr>
        <w:pStyle w:val="ListBullet"/>
      </w:pPr>
      <w:r w:rsidRPr="001C0F7B">
        <w:t>workplace instructions</w:t>
      </w:r>
    </w:p>
    <w:p w:rsidR="00000000" w:rsidRPr="001C0F7B" w:rsidP="001C0F7B">
      <w:pPr>
        <w:pStyle w:val="ListBullet"/>
      </w:pPr>
      <w:r w:rsidRPr="001C0F7B">
        <w:t>PPE and firefighting equipment required when recovering vehicle refrigerants</w:t>
      </w:r>
    </w:p>
    <w:p w:rsidR="00000000" w:rsidRPr="001C0F7B" w:rsidP="001C0F7B">
      <w:pPr>
        <w:pStyle w:val="ListBullet"/>
      </w:pPr>
      <w:r w:rsidRPr="001C0F7B">
        <w:t>Australian automotive</w:t>
      </w:r>
      <w:r w:rsidRPr="001C0F7B">
        <w:t xml:space="preserve"> code of practice: Control of refrigerant gases during manufacture, installation, servicing or de-commissioning of motor vehicle air conditioners</w:t>
      </w:r>
    </w:p>
    <w:p w:rsidR="00000000" w:rsidRPr="001C0F7B" w:rsidP="001C0F7B">
      <w:pPr>
        <w:pStyle w:val="ListBullet"/>
      </w:pPr>
      <w:r w:rsidRPr="001C0F7B">
        <w:t>three different vehicles or machinery with refrigerant to be recovered</w:t>
      </w:r>
    </w:p>
    <w:p w:rsidR="00000000" w:rsidRPr="001C0F7B" w:rsidP="001C0F7B">
      <w:pPr>
        <w:pStyle w:val="ListBullet"/>
      </w:pPr>
      <w:r w:rsidRPr="001C0F7B">
        <w:t>refrigerant recovery equipment designed</w:t>
      </w:r>
      <w:r w:rsidRPr="001C0F7B">
        <w:t xml:space="preserve"> for safe operation, including:</w:t>
      </w:r>
    </w:p>
    <w:p w:rsidR="00000000" w:rsidRPr="001C0F7B" w:rsidP="001C0F7B">
      <w:pPr>
        <w:pStyle w:val="ListBullet2"/>
      </w:pPr>
      <w:r w:rsidRPr="001C0F7B">
        <w:t>hose and vehicle couplings</w:t>
      </w:r>
    </w:p>
    <w:p w:rsidR="00000000" w:rsidRPr="001C0F7B" w:rsidP="001C0F7B">
      <w:pPr>
        <w:pStyle w:val="ListBullet2"/>
      </w:pPr>
      <w:r w:rsidRPr="001C0F7B">
        <w:t>refrigerant scales</w:t>
      </w:r>
    </w:p>
    <w:p w:rsidR="00000000" w:rsidRPr="001C0F7B" w:rsidP="001C0F7B">
      <w:pPr>
        <w:pStyle w:val="ListBullet2"/>
      </w:pPr>
      <w:r w:rsidRPr="001C0F7B">
        <w:t>refrigerant identifier or analyser</w:t>
      </w:r>
    </w:p>
    <w:p w:rsidR="00000000" w:rsidRPr="001C0F7B" w:rsidP="001C0F7B">
      <w:pPr>
        <w:pStyle w:val="ListBullet2"/>
      </w:pPr>
      <w:r w:rsidRPr="001C0F7B">
        <w:t>vehicle refrigerant designated and labelled recovery cylinders</w:t>
      </w:r>
    </w:p>
    <w:p w:rsidR="00000000" w:rsidRPr="001C0F7B" w:rsidP="001C0F7B">
      <w:pPr>
        <w:pStyle w:val="ListBullet2"/>
      </w:pPr>
      <w:r w:rsidRPr="001C0F7B">
        <w:t>appropriate hand tools for refrigerant recovery.</w:t>
      </w:r>
    </w:p>
    <w:p w:rsidR="00000000" w:rsidRPr="001C0F7B" w:rsidP="001C0F7B">
      <w:pPr>
        <w:pStyle w:val="AllowPageBreak"/>
      </w:pPr>
    </w:p>
    <w:p w:rsidR="00000000" w:rsidRPr="001C0F7B" w:rsidP="001C0F7B">
      <w:pPr>
        <w:pStyle w:val="Heading1"/>
      </w:pPr>
      <w:bookmarkStart w:id="5" w:name="O_794782"/>
      <w:bookmarkEnd w:id="5"/>
      <w:r w:rsidRPr="001C0F7B">
        <w:t>Links</w:t>
      </w:r>
    </w:p>
    <w:p w:rsidR="00000000" w:rsidRPr="001C0F7B" w:rsidP="00844EAC">
      <w:pPr>
        <w:pStyle w:val="BodyText"/>
      </w:pPr>
      <w:r w:rsidRPr="001C0F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76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C0F7B" w:rsidP="00844EAC">
      <w:pPr>
        <w:pStyle w:val="BodyText"/>
      </w:pPr>
      <w:r w:rsidRPr="001C0F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76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C0F7B" w:rsidP="001C0F7B"/>
    <w:sectPr w:rsidSect="001C0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7B" w:rsidRPr="00844EAC" w:rsidP="00844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AC" w:rsidP="001C0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EAC" w:rsidP="001C0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44EAC" w:rsidP="001C0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F7B" w:rsidRPr="00844EAC" w:rsidP="00844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AC" w:rsidRPr="002D2AF8" w:rsidP="001C0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AURETU002 Recover vehicle refrigerants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44EAC" w:rsidP="001C0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88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25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6A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F7B"/>
  </w:style>
  <w:style w:type="character" w:customStyle="1" w:styleId="Heading1Char">
    <w:name w:val="Heading 1 Char"/>
    <w:basedOn w:val="DefaultParagraphFont"/>
    <w:link w:val="Heading1"/>
    <w:rsid w:val="001C0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F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F7B"/>
    <w:rPr>
      <w:b/>
      <w:spacing w:val="0"/>
    </w:rPr>
  </w:style>
  <w:style w:type="paragraph" w:styleId="ListBullet2">
    <w:name w:val="List Bullet 2"/>
    <w:basedOn w:val="List2"/>
    <w:rsid w:val="001C0F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0F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0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F7B"/>
    <w:rPr>
      <w:i/>
    </w:rPr>
  </w:style>
  <w:style w:type="paragraph" w:styleId="Caption">
    <w:name w:val="caption"/>
    <w:basedOn w:val="BodyText"/>
    <w:next w:val="Normal"/>
    <w:qFormat/>
    <w:rsid w:val="001C0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F7B"/>
  </w:style>
  <w:style w:type="paragraph" w:styleId="TableofFigures">
    <w:name w:val="table of figures"/>
    <w:basedOn w:val="Normal"/>
    <w:next w:val="Normal"/>
    <w:semiHidden/>
    <w:rsid w:val="001C0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F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0F7B"/>
    <w:rPr>
      <w:rFonts w:ascii="Wingdings" w:hAnsi="Wingdings"/>
    </w:rPr>
  </w:style>
  <w:style w:type="paragraph" w:customStyle="1" w:styleId="TableHeading">
    <w:name w:val="Table Heading"/>
    <w:basedOn w:val="HeadingBase"/>
    <w:rsid w:val="001C0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F7B"/>
    <w:rPr>
      <w:color w:val="0033CC"/>
      <w:u w:val="none"/>
    </w:rPr>
  </w:style>
  <w:style w:type="paragraph" w:customStyle="1" w:styleId="BodyTextRight">
    <w:name w:val="Body Text Right"/>
    <w:basedOn w:val="BodyText"/>
    <w:rsid w:val="001C0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F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F7B"/>
    <w:rPr>
      <w:sz w:val="32"/>
    </w:rPr>
  </w:style>
  <w:style w:type="paragraph" w:customStyle="1" w:styleId="HeadingProcedure">
    <w:name w:val="Heading Procedure"/>
    <w:basedOn w:val="HeadingBase"/>
    <w:next w:val="Normal"/>
    <w:rsid w:val="001C0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F7B"/>
    <w:pPr>
      <w:spacing w:before="60" w:after="60"/>
    </w:pPr>
  </w:style>
  <w:style w:type="paragraph" w:styleId="ListContinue">
    <w:name w:val="List Continue"/>
    <w:basedOn w:val="List"/>
    <w:rsid w:val="001C0F7B"/>
    <w:pPr>
      <w:ind w:firstLine="0"/>
    </w:pPr>
  </w:style>
  <w:style w:type="paragraph" w:customStyle="1" w:styleId="ListNote">
    <w:name w:val="List Note"/>
    <w:basedOn w:val="List"/>
    <w:rsid w:val="001C0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F7B"/>
    <w:rPr>
      <w:rFonts w:ascii="Courier New" w:hAnsi="Courier New"/>
    </w:rPr>
  </w:style>
  <w:style w:type="paragraph" w:customStyle="1" w:styleId="NoteBullet">
    <w:name w:val="Note Bullet"/>
    <w:basedOn w:val="Note"/>
    <w:rsid w:val="001C0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F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0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F7B"/>
    <w:rPr>
      <w:b/>
      <w:smallCaps/>
    </w:rPr>
  </w:style>
  <w:style w:type="paragraph" w:customStyle="1" w:styleId="TableListNumber">
    <w:name w:val="Table List Number"/>
    <w:basedOn w:val="ListNumber"/>
    <w:rsid w:val="001C0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F7B"/>
    <w:pPr>
      <w:numPr>
        <w:numId w:val="10"/>
      </w:numPr>
    </w:pPr>
  </w:style>
  <w:style w:type="paragraph" w:customStyle="1" w:styleId="ListAlpha2">
    <w:name w:val="List Alpha 2"/>
    <w:basedOn w:val="List2"/>
    <w:rsid w:val="001C0F7B"/>
    <w:pPr>
      <w:numPr>
        <w:numId w:val="9"/>
      </w:numPr>
    </w:pPr>
  </w:style>
  <w:style w:type="paragraph" w:styleId="List2">
    <w:name w:val="List 2"/>
    <w:basedOn w:val="BodyText"/>
    <w:rsid w:val="001C0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F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0F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0F7B"/>
    <w:pPr>
      <w:numPr>
        <w:numId w:val="5"/>
      </w:numPr>
    </w:pPr>
  </w:style>
  <w:style w:type="paragraph" w:styleId="ListContinue2">
    <w:name w:val="List Continue 2"/>
    <w:basedOn w:val="List2"/>
    <w:rsid w:val="001C0F7B"/>
    <w:pPr>
      <w:ind w:firstLine="0"/>
    </w:pPr>
  </w:style>
  <w:style w:type="paragraph" w:styleId="ListContinue3">
    <w:name w:val="List Continue 3"/>
    <w:basedOn w:val="List3"/>
    <w:rsid w:val="001C0F7B"/>
    <w:pPr>
      <w:ind w:left="1021" w:firstLine="0"/>
    </w:pPr>
  </w:style>
  <w:style w:type="paragraph" w:styleId="ListContinue4">
    <w:name w:val="List Continue 4"/>
    <w:basedOn w:val="List4"/>
    <w:rsid w:val="001C0F7B"/>
    <w:pPr>
      <w:ind w:firstLine="0"/>
    </w:pPr>
  </w:style>
  <w:style w:type="paragraph" w:styleId="ListContinue5">
    <w:name w:val="List Continue 5"/>
    <w:basedOn w:val="List5"/>
    <w:rsid w:val="001C0F7B"/>
    <w:pPr>
      <w:ind w:firstLine="0"/>
    </w:pPr>
  </w:style>
  <w:style w:type="paragraph" w:styleId="ListNumber3">
    <w:name w:val="List Number 3"/>
    <w:basedOn w:val="List3"/>
    <w:rsid w:val="001C0F7B"/>
    <w:pPr>
      <w:numPr>
        <w:numId w:val="6"/>
      </w:numPr>
    </w:pPr>
  </w:style>
  <w:style w:type="paragraph" w:styleId="ListNumber4">
    <w:name w:val="List Number 4"/>
    <w:basedOn w:val="List4"/>
    <w:rsid w:val="001C0F7B"/>
    <w:pPr>
      <w:numPr>
        <w:numId w:val="7"/>
      </w:numPr>
    </w:pPr>
  </w:style>
  <w:style w:type="paragraph" w:styleId="ListNumber5">
    <w:name w:val="List Number 5"/>
    <w:basedOn w:val="List5"/>
    <w:rsid w:val="001C0F7B"/>
    <w:pPr>
      <w:numPr>
        <w:numId w:val="8"/>
      </w:numPr>
    </w:pPr>
  </w:style>
  <w:style w:type="paragraph" w:styleId="BlockText">
    <w:name w:val="Block Text"/>
    <w:basedOn w:val="Normal"/>
    <w:rsid w:val="001C0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F7B"/>
    <w:rPr>
      <w:sz w:val="16"/>
      <w:vertAlign w:val="superscript"/>
    </w:rPr>
  </w:style>
  <w:style w:type="character" w:customStyle="1" w:styleId="Symbols">
    <w:name w:val="Symbols"/>
    <w:basedOn w:val="DefaultParagraphFont"/>
    <w:rsid w:val="001C0F7B"/>
    <w:rPr>
      <w:rFonts w:ascii="Symbol" w:hAnsi="Symbol"/>
    </w:rPr>
  </w:style>
  <w:style w:type="character" w:customStyle="1" w:styleId="MenuOptions">
    <w:name w:val="Menu Options"/>
    <w:basedOn w:val="DefaultParagraphFont"/>
    <w:rsid w:val="001C0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F7B"/>
    <w:rPr>
      <w:b/>
    </w:rPr>
  </w:style>
  <w:style w:type="character" w:customStyle="1" w:styleId="Underlined">
    <w:name w:val="Underlined"/>
    <w:basedOn w:val="DefaultParagraphFont"/>
    <w:rsid w:val="001C0F7B"/>
    <w:rPr>
      <w:u w:val="single"/>
    </w:rPr>
  </w:style>
  <w:style w:type="paragraph" w:customStyle="1" w:styleId="TableBodyTextRight">
    <w:name w:val="Table Body Text Right"/>
    <w:basedOn w:val="TableBodyText"/>
    <w:rsid w:val="001C0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F7B"/>
    <w:rPr>
      <w:sz w:val="18"/>
    </w:rPr>
  </w:style>
  <w:style w:type="paragraph" w:customStyle="1" w:styleId="BodySmallRight">
    <w:name w:val="Body Small Right"/>
    <w:basedOn w:val="BodyTextRight"/>
    <w:rsid w:val="001C0F7B"/>
    <w:rPr>
      <w:sz w:val="18"/>
      <w:szCs w:val="18"/>
    </w:rPr>
  </w:style>
  <w:style w:type="paragraph" w:customStyle="1" w:styleId="MarginEdition">
    <w:name w:val="Margin Edition"/>
    <w:basedOn w:val="MarginNote"/>
    <w:rsid w:val="001C0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F7B"/>
    <w:rPr>
      <w:sz w:val="2"/>
      <w:szCs w:val="2"/>
    </w:rPr>
  </w:style>
  <w:style w:type="character" w:customStyle="1" w:styleId="Small">
    <w:name w:val="Small"/>
    <w:basedOn w:val="DefaultParagraphFont"/>
    <w:rsid w:val="001C0F7B"/>
    <w:rPr>
      <w:sz w:val="16"/>
    </w:rPr>
  </w:style>
  <w:style w:type="paragraph" w:customStyle="1" w:styleId="WideTable">
    <w:name w:val="Wide Table"/>
    <w:basedOn w:val="Normal"/>
    <w:rsid w:val="001C0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F7B"/>
  </w:style>
  <w:style w:type="paragraph" w:styleId="Quote">
    <w:name w:val="Quote"/>
    <w:basedOn w:val="Heading1"/>
    <w:link w:val="QuoteChar"/>
    <w:qFormat/>
    <w:rsid w:val="001C0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F7B"/>
    <w:pPr>
      <w:pageBreakBefore/>
    </w:pPr>
  </w:style>
  <w:style w:type="paragraph" w:customStyle="1" w:styleId="Border">
    <w:name w:val="Border"/>
    <w:basedOn w:val="Normal"/>
    <w:qFormat/>
    <w:rsid w:val="001C0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F7B"/>
    <w:rPr>
      <w:u w:val="single"/>
    </w:rPr>
  </w:style>
  <w:style w:type="character" w:customStyle="1" w:styleId="BoldandItalics">
    <w:name w:val="Bold and Italics"/>
    <w:qFormat/>
    <w:rsid w:val="001C0F7B"/>
    <w:rPr>
      <w:b/>
      <w:i/>
      <w:u w:val="none"/>
    </w:rPr>
  </w:style>
  <w:style w:type="paragraph" w:styleId="BalloonText">
    <w:name w:val="Balloon Text"/>
    <w:basedOn w:val="Normal"/>
    <w:link w:val="BalloonTextChar"/>
    <w:rsid w:val="001C0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F7B"/>
    <w:pPr>
      <w:spacing w:before="0" w:after="0"/>
    </w:pPr>
  </w:style>
  <w:style w:type="paragraph" w:customStyle="1" w:styleId="BodyTextBold">
    <w:name w:val="Body Text Bold"/>
    <w:basedOn w:val="BodyText"/>
    <w:qFormat/>
    <w:rsid w:val="001C0F7B"/>
    <w:rPr>
      <w:b/>
    </w:rPr>
  </w:style>
  <w:style w:type="character" w:styleId="Hyperlink">
    <w:name w:val="Hyperlink"/>
    <w:basedOn w:val="DefaultParagraphFont"/>
    <w:uiPriority w:val="99"/>
    <w:unhideWhenUsed/>
    <w:rsid w:val="00844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4129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AURETU002 Recover vehicle refrigerants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