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632" w:rsidP="008E6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AURETR147 Recharge vehicle batteries</w:t>
      </w:r>
      <w:r>
        <w:fldChar w:fldCharType="end"/>
      </w:r>
    </w:p>
    <w:p w:rsidR="008E6632" w:rsidP="008E6632">
      <w:pPr>
        <w:pStyle w:val="Version"/>
        <w:sectPr w:rsidSect="004B0D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D6E" w:rsidP="004B0D6E">
      <w:pPr>
        <w:pStyle w:val="SuperHeading"/>
      </w:pPr>
      <w:r w:rsidRPr="004B0D6E">
        <w:t>Assessment Requirements for AURETR147 Recharge vehicle batteries</w:t>
      </w:r>
    </w:p>
    <w:p w:rsidR="00000000" w:rsidRPr="004B0D6E" w:rsidP="004B0D6E">
      <w:pPr>
        <w:pStyle w:val="Heading1"/>
      </w:pPr>
      <w:bookmarkStart w:id="1" w:name="O_1110957"/>
      <w:bookmarkEnd w:id="1"/>
      <w:r w:rsidRPr="004B0D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B0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D6E" w:rsidP="004B0D6E">
            <w:pPr>
              <w:pStyle w:val="BodyText"/>
            </w:pPr>
            <w:r w:rsidRPr="004B0D6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D6E">
            <w:pPr>
              <w:pStyle w:val="BodyText"/>
              <w:rPr>
                <w:lang w:val="en-NZ"/>
              </w:rPr>
            </w:pPr>
            <w:r w:rsidRPr="004B0D6E">
              <w:rPr>
                <w:rStyle w:val="SpecialBold"/>
              </w:rPr>
              <w:t>Comments</w:t>
            </w:r>
          </w:p>
        </w:tc>
      </w:tr>
      <w:tr w:rsidTr="004B0D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D6E">
            <w:pPr>
              <w:pStyle w:val="BodyText"/>
              <w:rPr>
                <w:lang w:val="en-NZ"/>
              </w:rPr>
            </w:pPr>
            <w:r w:rsidRPr="004B0D6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D6E" w:rsidP="004B0D6E">
            <w:pPr>
              <w:pStyle w:val="BodyText"/>
            </w:pPr>
            <w:r w:rsidRPr="004B0D6E">
              <w:t>This version first released with AUR Automotive Retail, Service and Repair Training Package Version 6.0</w:t>
            </w:r>
          </w:p>
        </w:tc>
      </w:tr>
    </w:tbl>
    <w:p w:rsidR="00000000" w:rsidRPr="004B0D6E" w:rsidP="004B0D6E">
      <w:pPr>
        <w:pStyle w:val="BodyText"/>
      </w:pPr>
    </w:p>
    <w:p w:rsidR="00000000" w:rsidRPr="004B0D6E" w:rsidP="004B0D6E">
      <w:pPr>
        <w:pStyle w:val="AllowPageBreak"/>
      </w:pPr>
    </w:p>
    <w:p w:rsidR="00000000" w:rsidRPr="004B0D6E" w:rsidP="004B0D6E">
      <w:pPr>
        <w:pStyle w:val="Heading1"/>
      </w:pPr>
      <w:bookmarkStart w:id="2" w:name="O_1110960"/>
      <w:bookmarkEnd w:id="2"/>
      <w:r w:rsidRPr="004B0D6E">
        <w:t>Performance Evidence</w:t>
      </w:r>
    </w:p>
    <w:p w:rsidR="00000000" w:rsidRPr="004B0D6E" w:rsidP="008E6632">
      <w:pPr>
        <w:pStyle w:val="BodyText"/>
      </w:pPr>
      <w:r w:rsidRPr="004B0D6E">
        <w:t>The candidate must demonstrate the ability to complete the tasks outlined in the elements, performance criteria and foundation skills of this unit, including evidence of the ability to:</w:t>
      </w:r>
    </w:p>
    <w:p w:rsidR="00000000" w:rsidRPr="004B0D6E" w:rsidP="004B0D6E">
      <w:pPr>
        <w:pStyle w:val="ListBullet"/>
      </w:pPr>
      <w:r w:rsidRPr="004B0D6E">
        <w:t>recharge at least two automotive batter</w:t>
      </w:r>
      <w:r w:rsidRPr="004B0D6E">
        <w:t>ies with different cold-cranking amp (CCA) ratings.</w:t>
      </w:r>
    </w:p>
    <w:p w:rsidR="00000000" w:rsidRPr="004B0D6E" w:rsidP="004B0D6E">
      <w:pPr>
        <w:pStyle w:val="AllowPageBreak"/>
      </w:pPr>
    </w:p>
    <w:p w:rsidR="00000000" w:rsidRPr="004B0D6E" w:rsidP="004B0D6E">
      <w:pPr>
        <w:pStyle w:val="Heading1"/>
      </w:pPr>
      <w:bookmarkStart w:id="3" w:name="O_1110959"/>
      <w:bookmarkEnd w:id="3"/>
      <w:r w:rsidRPr="004B0D6E">
        <w:t>Knowledge Evidence</w:t>
      </w:r>
    </w:p>
    <w:p w:rsidR="00000000" w:rsidRPr="004B0D6E" w:rsidP="008E6632">
      <w:pPr>
        <w:pStyle w:val="BodyText"/>
      </w:pPr>
      <w:r w:rsidRPr="004B0D6E">
        <w:t>The candidate must be able to demonstrate knowledge to complete the tasks outlined in the elements, performance criteria and foundation skills of this unit, including</w:t>
      </w:r>
      <w:r w:rsidRPr="004B0D6E">
        <w:t xml:space="preserve"> knowledge of:</w:t>
      </w:r>
    </w:p>
    <w:p w:rsidR="00000000" w:rsidRPr="004B0D6E" w:rsidP="004B0D6E">
      <w:pPr>
        <w:pStyle w:val="ListBullet"/>
      </w:pPr>
      <w:r w:rsidRPr="004B0D6E">
        <w:t>methods to locate and interpret information required to remove and refit vehicle batteries, including:</w:t>
      </w:r>
    </w:p>
    <w:p w:rsidR="00000000" w:rsidRPr="004B0D6E" w:rsidP="004B0D6E">
      <w:pPr>
        <w:pStyle w:val="ListBullet2"/>
      </w:pPr>
      <w:r w:rsidRPr="004B0D6E">
        <w:t>battery and vehicle manufacturer specifications</w:t>
      </w:r>
    </w:p>
    <w:p w:rsidR="00000000" w:rsidRPr="004B0D6E" w:rsidP="004B0D6E">
      <w:pPr>
        <w:pStyle w:val="ListBullet2"/>
      </w:pPr>
      <w:r w:rsidRPr="004B0D6E">
        <w:t>safety data sheets (SDS)</w:t>
      </w:r>
    </w:p>
    <w:p w:rsidR="00000000" w:rsidRPr="004B0D6E" w:rsidP="004B0D6E">
      <w:pPr>
        <w:pStyle w:val="ListBullet"/>
      </w:pPr>
      <w:r w:rsidRPr="004B0D6E">
        <w:t>workplace procedures required to recharge vehicle batteries, including:</w:t>
      </w:r>
    </w:p>
    <w:p w:rsidR="00000000" w:rsidRPr="004B0D6E" w:rsidP="004B0D6E">
      <w:pPr>
        <w:pStyle w:val="ListBullet2"/>
      </w:pPr>
      <w:r w:rsidRPr="004B0D6E">
        <w:t>battery inspection and testing procedures, including:</w:t>
      </w:r>
    </w:p>
    <w:p w:rsidR="00000000" w:rsidRPr="004B0D6E" w:rsidP="004B0D6E">
      <w:pPr>
        <w:pStyle w:val="ListBullet3"/>
      </w:pPr>
      <w:r w:rsidRPr="004B0D6E">
        <w:t>visual checks</w:t>
      </w:r>
    </w:p>
    <w:p w:rsidR="00000000" w:rsidRPr="004B0D6E" w:rsidP="004B0D6E">
      <w:pPr>
        <w:pStyle w:val="ListBullet3"/>
      </w:pPr>
      <w:r w:rsidRPr="004B0D6E">
        <w:t>hydrometers</w:t>
      </w:r>
    </w:p>
    <w:p w:rsidR="00000000" w:rsidRPr="004B0D6E" w:rsidP="004B0D6E">
      <w:pPr>
        <w:pStyle w:val="ListBullet3"/>
      </w:pPr>
      <w:r w:rsidRPr="004B0D6E">
        <w:t>high-rate discharge testers</w:t>
      </w:r>
    </w:p>
    <w:p w:rsidR="00000000" w:rsidRPr="004B0D6E" w:rsidP="004B0D6E">
      <w:pPr>
        <w:pStyle w:val="ListBullet3"/>
      </w:pPr>
      <w:r w:rsidRPr="004B0D6E">
        <w:t>resting battery voltage</w:t>
      </w:r>
    </w:p>
    <w:p w:rsidR="00000000" w:rsidRPr="004B0D6E" w:rsidP="004B0D6E">
      <w:pPr>
        <w:pStyle w:val="ListBullet2"/>
      </w:pPr>
      <w:r w:rsidRPr="004B0D6E">
        <w:t>battery charging procedures, including:</w:t>
      </w:r>
    </w:p>
    <w:p w:rsidR="00000000" w:rsidRPr="004B0D6E" w:rsidP="004B0D6E">
      <w:pPr>
        <w:pStyle w:val="ListBullet3"/>
      </w:pPr>
      <w:r w:rsidRPr="004B0D6E">
        <w:t>methods for determining charging rate, including reserve capacity (RC) and CCA methods</w:t>
      </w:r>
    </w:p>
    <w:p w:rsidR="00000000" w:rsidRPr="004B0D6E" w:rsidP="004B0D6E">
      <w:pPr>
        <w:pStyle w:val="ListBullet2"/>
      </w:pPr>
      <w:r w:rsidRPr="004B0D6E">
        <w:t>establishing serviceability of tools and equipment</w:t>
      </w:r>
    </w:p>
    <w:p w:rsidR="00000000" w:rsidRPr="004B0D6E" w:rsidP="004B0D6E">
      <w:pPr>
        <w:pStyle w:val="ListBullet2"/>
      </w:pPr>
      <w:r w:rsidRPr="004B0D6E">
        <w:t>documentation procedures</w:t>
      </w:r>
    </w:p>
    <w:p w:rsidR="00000000" w:rsidRPr="004B0D6E" w:rsidP="004B0D6E">
      <w:pPr>
        <w:pStyle w:val="ListBullet2"/>
      </w:pPr>
      <w:r w:rsidRPr="004B0D6E">
        <w:t>housekeeping procedures, including:</w:t>
      </w:r>
    </w:p>
    <w:p w:rsidR="00000000" w:rsidRPr="004B0D6E" w:rsidP="004B0D6E">
      <w:pPr>
        <w:pStyle w:val="ListBullet3"/>
      </w:pPr>
      <w:r w:rsidRPr="004B0D6E">
        <w:t>examination of tools and equipment</w:t>
      </w:r>
    </w:p>
    <w:p w:rsidR="00000000" w:rsidRPr="004B0D6E" w:rsidP="004B0D6E">
      <w:pPr>
        <w:pStyle w:val="ListBullet3"/>
      </w:pPr>
      <w:r w:rsidRPr="004B0D6E">
        <w:t>storage of equipment</w:t>
      </w:r>
    </w:p>
    <w:p w:rsidR="00000000" w:rsidRPr="004B0D6E" w:rsidP="004B0D6E">
      <w:pPr>
        <w:pStyle w:val="ListBullet3"/>
      </w:pPr>
      <w:r w:rsidRPr="004B0D6E">
        <w:t>identification, tagging and isolation of faulty equipment</w:t>
      </w:r>
    </w:p>
    <w:p w:rsidR="00000000" w:rsidRPr="004B0D6E" w:rsidP="004B0D6E">
      <w:pPr>
        <w:pStyle w:val="ListBullet3"/>
      </w:pPr>
      <w:r w:rsidRPr="004B0D6E">
        <w:t>disposal of excess materials</w:t>
      </w:r>
    </w:p>
    <w:p w:rsidR="00000000" w:rsidRPr="004B0D6E" w:rsidP="004B0D6E">
      <w:pPr>
        <w:pStyle w:val="ListBullet3"/>
      </w:pPr>
      <w:r w:rsidRPr="004B0D6E">
        <w:t>recycling procedures</w:t>
      </w:r>
    </w:p>
    <w:p w:rsidR="00000000" w:rsidRPr="004B0D6E" w:rsidP="004B0D6E">
      <w:pPr>
        <w:pStyle w:val="ListBullet"/>
      </w:pPr>
      <w:r w:rsidRPr="004B0D6E">
        <w:t>key aspects of workplace health and safety (WHS) and environmental requirements, including:</w:t>
      </w:r>
    </w:p>
    <w:p w:rsidR="00000000" w:rsidRPr="004B0D6E" w:rsidP="004B0D6E">
      <w:pPr>
        <w:pStyle w:val="ListBullet2"/>
      </w:pPr>
      <w:r w:rsidRPr="004B0D6E">
        <w:t>selecting and using personal protective equipment (PPE), including safety glasses, ear protection and safety footwear</w:t>
      </w:r>
    </w:p>
    <w:p w:rsidR="00000000" w:rsidRPr="004B0D6E" w:rsidP="004B0D6E">
      <w:pPr>
        <w:pStyle w:val="ListBullet2"/>
      </w:pPr>
      <w:r w:rsidRPr="004B0D6E">
        <w:t>dangers of working with battery testing and charging equipment</w:t>
      </w:r>
    </w:p>
    <w:p w:rsidR="00000000" w:rsidRPr="004B0D6E" w:rsidP="004B0D6E">
      <w:pPr>
        <w:pStyle w:val="ListBullet2"/>
      </w:pPr>
      <w:r w:rsidRPr="004B0D6E">
        <w:t xml:space="preserve">procedures for handling, storing and disposing of automotive batteries and </w:t>
      </w:r>
      <w:r w:rsidRPr="004B0D6E">
        <w:t>battery fluid</w:t>
      </w:r>
    </w:p>
    <w:p w:rsidR="00000000" w:rsidRPr="004B0D6E" w:rsidP="004B0D6E">
      <w:pPr>
        <w:pStyle w:val="ListBullet"/>
      </w:pPr>
      <w:r w:rsidRPr="004B0D6E">
        <w:t>key features and operating procedures for automotive battery chargers.</w:t>
      </w:r>
    </w:p>
    <w:p w:rsidR="00000000" w:rsidRPr="004B0D6E" w:rsidP="004B0D6E">
      <w:pPr>
        <w:pStyle w:val="AllowPageBreak"/>
      </w:pPr>
    </w:p>
    <w:p w:rsidR="00000000" w:rsidRPr="004B0D6E" w:rsidP="004B0D6E">
      <w:pPr>
        <w:pStyle w:val="Heading1"/>
      </w:pPr>
      <w:bookmarkStart w:id="4" w:name="O_1110958"/>
      <w:bookmarkEnd w:id="4"/>
      <w:r w:rsidRPr="004B0D6E">
        <w:t>Assessment Conditions</w:t>
      </w:r>
    </w:p>
    <w:p w:rsidR="00000000" w:rsidRPr="004B0D6E" w:rsidP="008E6632">
      <w:pPr>
        <w:pStyle w:val="BodyText"/>
      </w:pPr>
      <w:r w:rsidRPr="004B0D6E">
        <w:t>Competency is to be assessed in the workplace or a simulated environment that accurately reflects performance in a real workplace</w:t>
      </w:r>
      <w:r w:rsidRPr="004B0D6E">
        <w:t xml:space="preserve"> setting.</w:t>
      </w:r>
    </w:p>
    <w:p w:rsidR="00000000" w:rsidRPr="004B0D6E" w:rsidP="008E6632">
      <w:pPr>
        <w:pStyle w:val="BodyText"/>
      </w:pPr>
      <w:r w:rsidRPr="004B0D6E">
        <w:t>Assessment must include direct observation of tasks.</w:t>
      </w:r>
    </w:p>
    <w:p w:rsidR="00000000" w:rsidRPr="004B0D6E" w:rsidP="008E6632">
      <w:pPr>
        <w:pStyle w:val="BodyText"/>
      </w:pPr>
      <w:r w:rsidRPr="004B0D6E">
        <w:t>Where assessment of competency includes third-party evidence, individuals must provide evidence that links them to the vehicles where they have recharged batteries, e.g. repair orders.</w:t>
      </w:r>
    </w:p>
    <w:p w:rsidR="00000000" w:rsidRPr="004B0D6E" w:rsidP="008E6632">
      <w:pPr>
        <w:pStyle w:val="BodyText"/>
      </w:pPr>
      <w:r w:rsidRPr="004B0D6E">
        <w:t>Assessor</w:t>
      </w:r>
      <w:r w:rsidRPr="004B0D6E">
        <w:t>s must verify performance evidence through questioning on skills and knowledge to ensure correct interpretation and application.</w:t>
      </w:r>
    </w:p>
    <w:p w:rsidR="00000000" w:rsidRPr="004B0D6E" w:rsidP="008E6632">
      <w:pPr>
        <w:pStyle w:val="BodyText"/>
      </w:pPr>
      <w:r w:rsidRPr="004B0D6E">
        <w:t>The following resources must be made available:</w:t>
      </w:r>
    </w:p>
    <w:p w:rsidR="00000000" w:rsidRPr="004B0D6E" w:rsidP="004B0D6E">
      <w:pPr>
        <w:pStyle w:val="ListBullet"/>
      </w:pPr>
      <w:r w:rsidRPr="004B0D6E">
        <w:t>automotive workplace or simulated workplace</w:t>
      </w:r>
    </w:p>
    <w:p w:rsidR="00000000" w:rsidRPr="004B0D6E" w:rsidP="004B0D6E">
      <w:pPr>
        <w:pStyle w:val="ListBullet"/>
      </w:pPr>
      <w:r w:rsidRPr="004B0D6E">
        <w:t>personal protective equipment appr</w:t>
      </w:r>
      <w:r w:rsidRPr="004B0D6E">
        <w:t>opriate to the workplace</w:t>
      </w:r>
    </w:p>
    <w:p w:rsidR="00000000" w:rsidRPr="004B0D6E" w:rsidP="004B0D6E">
      <w:pPr>
        <w:pStyle w:val="ListBullet"/>
      </w:pPr>
      <w:r w:rsidRPr="004B0D6E">
        <w:t>two lead-acid automotive batteries with different CCA ratings</w:t>
      </w:r>
    </w:p>
    <w:p w:rsidR="00000000" w:rsidRPr="004B0D6E" w:rsidP="004B0D6E">
      <w:pPr>
        <w:pStyle w:val="ListBullet"/>
      </w:pPr>
      <w:r w:rsidRPr="004B0D6E">
        <w:t>battery testing equipment, including hydrometer and high-rate discharge tester</w:t>
      </w:r>
    </w:p>
    <w:p w:rsidR="00000000" w:rsidRPr="004B0D6E" w:rsidP="004B0D6E">
      <w:pPr>
        <w:pStyle w:val="ListBullet"/>
      </w:pPr>
      <w:r w:rsidRPr="004B0D6E">
        <w:t>battery charger</w:t>
      </w:r>
    </w:p>
    <w:p w:rsidR="00000000" w:rsidRPr="004B0D6E" w:rsidP="004B0D6E">
      <w:pPr>
        <w:pStyle w:val="ListBullet"/>
      </w:pPr>
      <w:r w:rsidRPr="004B0D6E">
        <w:t>automotive hand tools.</w:t>
      </w:r>
    </w:p>
    <w:p w:rsidR="00000000" w:rsidRPr="004B0D6E" w:rsidP="004B0D6E">
      <w:pPr>
        <w:pStyle w:val="List"/>
      </w:pPr>
    </w:p>
    <w:p w:rsidR="00000000" w:rsidRPr="004B0D6E" w:rsidP="008E6632">
      <w:pPr>
        <w:pStyle w:val="BodyText"/>
      </w:pPr>
      <w:r w:rsidRPr="004B0D6E">
        <w:t>Assessors of this unit must satisfy the requireme</w:t>
      </w:r>
      <w:r w:rsidRPr="004B0D6E">
        <w:t>nts for assessors in applicable vocational education and training legislation, frameworks and/or standards.</w:t>
      </w:r>
    </w:p>
    <w:p w:rsidR="00000000" w:rsidRPr="004B0D6E" w:rsidP="004B0D6E">
      <w:pPr>
        <w:pStyle w:val="Heading1"/>
      </w:pPr>
      <w:bookmarkStart w:id="5" w:name="O_1110956"/>
      <w:bookmarkEnd w:id="5"/>
      <w:r w:rsidRPr="004B0D6E">
        <w:t>Links</w:t>
      </w:r>
    </w:p>
    <w:p w:rsidR="00000000" w:rsidRPr="004B0D6E" w:rsidP="008E6632">
      <w:pPr>
        <w:pStyle w:val="BodyText"/>
      </w:pPr>
      <w:r w:rsidRPr="004B0D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E7C6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B0D6E" w:rsidP="004B0D6E"/>
    <w:sectPr w:rsidSect="004B0D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6E" w:rsidRPr="008E6632" w:rsidP="008E6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32" w:rsidP="004B0D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6632" w:rsidP="004B0D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E6632" w:rsidP="004B0D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D6E" w:rsidRPr="008E6632" w:rsidP="008E6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32" w:rsidRPr="002D2AF8" w:rsidP="004B0D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AURETR147 Recharge vehicle batteries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E6632" w:rsidP="004B0D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1E61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0CB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2AA6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D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D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D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D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D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D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D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D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D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D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D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D6E"/>
  </w:style>
  <w:style w:type="character" w:customStyle="1" w:styleId="Heading1Char">
    <w:name w:val="Heading 1 Char"/>
    <w:basedOn w:val="DefaultParagraphFont"/>
    <w:link w:val="Heading1"/>
    <w:rsid w:val="004B0D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D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D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0D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0D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D6E"/>
    <w:rPr>
      <w:b/>
      <w:spacing w:val="0"/>
    </w:rPr>
  </w:style>
  <w:style w:type="paragraph" w:styleId="ListBullet2">
    <w:name w:val="List Bullet 2"/>
    <w:basedOn w:val="List2"/>
    <w:rsid w:val="004B0D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0D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D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0D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B0D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D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D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D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D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D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D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D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D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D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D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D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D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D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0D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D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D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D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0D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D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D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D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D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D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D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D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D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D6E"/>
    <w:rPr>
      <w:i/>
    </w:rPr>
  </w:style>
  <w:style w:type="paragraph" w:styleId="Caption">
    <w:name w:val="caption"/>
    <w:basedOn w:val="BodyText"/>
    <w:next w:val="Normal"/>
    <w:qFormat/>
    <w:rsid w:val="004B0D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D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D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D6E"/>
  </w:style>
  <w:style w:type="paragraph" w:styleId="TableofFigures">
    <w:name w:val="table of figures"/>
    <w:basedOn w:val="Normal"/>
    <w:next w:val="Normal"/>
    <w:semiHidden/>
    <w:rsid w:val="004B0D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D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B0D6E"/>
    <w:rPr>
      <w:rFonts w:ascii="Wingdings" w:hAnsi="Wingdings"/>
    </w:rPr>
  </w:style>
  <w:style w:type="paragraph" w:customStyle="1" w:styleId="TableHeading">
    <w:name w:val="Table Heading"/>
    <w:basedOn w:val="HeadingBase"/>
    <w:rsid w:val="004B0D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D6E"/>
    <w:rPr>
      <w:color w:val="0033CC"/>
      <w:u w:val="none"/>
    </w:rPr>
  </w:style>
  <w:style w:type="paragraph" w:customStyle="1" w:styleId="BodyTextRight">
    <w:name w:val="Body Text Right"/>
    <w:basedOn w:val="BodyText"/>
    <w:rsid w:val="004B0D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D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D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D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D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D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D6E"/>
    <w:rPr>
      <w:sz w:val="32"/>
    </w:rPr>
  </w:style>
  <w:style w:type="paragraph" w:customStyle="1" w:styleId="HeadingProcedure">
    <w:name w:val="Heading Procedure"/>
    <w:basedOn w:val="HeadingBase"/>
    <w:next w:val="Normal"/>
    <w:rsid w:val="004B0D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D6E"/>
    <w:pPr>
      <w:spacing w:before="60" w:after="60"/>
    </w:pPr>
  </w:style>
  <w:style w:type="paragraph" w:styleId="ListContinue">
    <w:name w:val="List Continue"/>
    <w:basedOn w:val="List"/>
    <w:rsid w:val="004B0D6E"/>
    <w:pPr>
      <w:ind w:firstLine="0"/>
    </w:pPr>
  </w:style>
  <w:style w:type="paragraph" w:customStyle="1" w:styleId="ListNote">
    <w:name w:val="List Note"/>
    <w:basedOn w:val="List"/>
    <w:rsid w:val="004B0D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D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D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D6E"/>
    <w:rPr>
      <w:rFonts w:ascii="Courier New" w:hAnsi="Courier New"/>
    </w:rPr>
  </w:style>
  <w:style w:type="paragraph" w:customStyle="1" w:styleId="NoteBullet">
    <w:name w:val="Note Bullet"/>
    <w:basedOn w:val="Note"/>
    <w:rsid w:val="004B0D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D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D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D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D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0D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D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D6E"/>
    <w:rPr>
      <w:b/>
      <w:smallCaps/>
    </w:rPr>
  </w:style>
  <w:style w:type="paragraph" w:customStyle="1" w:styleId="TableListNumber">
    <w:name w:val="Table List Number"/>
    <w:basedOn w:val="ListNumber"/>
    <w:rsid w:val="004B0D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D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D6E"/>
    <w:pPr>
      <w:numPr>
        <w:numId w:val="10"/>
      </w:numPr>
    </w:pPr>
  </w:style>
  <w:style w:type="paragraph" w:customStyle="1" w:styleId="ListAlpha2">
    <w:name w:val="List Alpha 2"/>
    <w:basedOn w:val="List2"/>
    <w:rsid w:val="004B0D6E"/>
    <w:pPr>
      <w:numPr>
        <w:numId w:val="9"/>
      </w:numPr>
    </w:pPr>
  </w:style>
  <w:style w:type="paragraph" w:styleId="List2">
    <w:name w:val="List 2"/>
    <w:basedOn w:val="BodyText"/>
    <w:rsid w:val="004B0D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D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D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D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0D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0D6E"/>
    <w:pPr>
      <w:numPr>
        <w:numId w:val="5"/>
      </w:numPr>
    </w:pPr>
  </w:style>
  <w:style w:type="paragraph" w:styleId="ListContinue2">
    <w:name w:val="List Continue 2"/>
    <w:basedOn w:val="List2"/>
    <w:rsid w:val="004B0D6E"/>
    <w:pPr>
      <w:ind w:firstLine="0"/>
    </w:pPr>
  </w:style>
  <w:style w:type="paragraph" w:styleId="ListContinue3">
    <w:name w:val="List Continue 3"/>
    <w:basedOn w:val="List3"/>
    <w:rsid w:val="004B0D6E"/>
    <w:pPr>
      <w:ind w:left="1021" w:firstLine="0"/>
    </w:pPr>
  </w:style>
  <w:style w:type="paragraph" w:styleId="ListContinue4">
    <w:name w:val="List Continue 4"/>
    <w:basedOn w:val="List4"/>
    <w:rsid w:val="004B0D6E"/>
    <w:pPr>
      <w:ind w:firstLine="0"/>
    </w:pPr>
  </w:style>
  <w:style w:type="paragraph" w:styleId="ListContinue5">
    <w:name w:val="List Continue 5"/>
    <w:basedOn w:val="List5"/>
    <w:rsid w:val="004B0D6E"/>
    <w:pPr>
      <w:ind w:firstLine="0"/>
    </w:pPr>
  </w:style>
  <w:style w:type="paragraph" w:styleId="ListNumber3">
    <w:name w:val="List Number 3"/>
    <w:basedOn w:val="List3"/>
    <w:rsid w:val="004B0D6E"/>
    <w:pPr>
      <w:numPr>
        <w:numId w:val="6"/>
      </w:numPr>
    </w:pPr>
  </w:style>
  <w:style w:type="paragraph" w:styleId="ListNumber4">
    <w:name w:val="List Number 4"/>
    <w:basedOn w:val="List4"/>
    <w:rsid w:val="004B0D6E"/>
    <w:pPr>
      <w:numPr>
        <w:numId w:val="7"/>
      </w:numPr>
    </w:pPr>
  </w:style>
  <w:style w:type="paragraph" w:styleId="ListNumber5">
    <w:name w:val="List Number 5"/>
    <w:basedOn w:val="List5"/>
    <w:rsid w:val="004B0D6E"/>
    <w:pPr>
      <w:numPr>
        <w:numId w:val="8"/>
      </w:numPr>
    </w:pPr>
  </w:style>
  <w:style w:type="paragraph" w:styleId="BlockText">
    <w:name w:val="Block Text"/>
    <w:basedOn w:val="Normal"/>
    <w:rsid w:val="004B0D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D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D6E"/>
    <w:rPr>
      <w:sz w:val="16"/>
      <w:vertAlign w:val="superscript"/>
    </w:rPr>
  </w:style>
  <w:style w:type="character" w:customStyle="1" w:styleId="Symbols">
    <w:name w:val="Symbols"/>
    <w:basedOn w:val="DefaultParagraphFont"/>
    <w:rsid w:val="004B0D6E"/>
    <w:rPr>
      <w:rFonts w:ascii="Symbol" w:hAnsi="Symbol"/>
    </w:rPr>
  </w:style>
  <w:style w:type="character" w:customStyle="1" w:styleId="MenuOptions">
    <w:name w:val="Menu Options"/>
    <w:basedOn w:val="DefaultParagraphFont"/>
    <w:rsid w:val="004B0D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D6E"/>
    <w:rPr>
      <w:b/>
    </w:rPr>
  </w:style>
  <w:style w:type="character" w:customStyle="1" w:styleId="Underlined">
    <w:name w:val="Underlined"/>
    <w:basedOn w:val="DefaultParagraphFont"/>
    <w:rsid w:val="004B0D6E"/>
    <w:rPr>
      <w:u w:val="single"/>
    </w:rPr>
  </w:style>
  <w:style w:type="paragraph" w:customStyle="1" w:styleId="TableBodyTextRight">
    <w:name w:val="Table Body Text Right"/>
    <w:basedOn w:val="TableBodyText"/>
    <w:rsid w:val="004B0D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D6E"/>
    <w:rPr>
      <w:sz w:val="18"/>
    </w:rPr>
  </w:style>
  <w:style w:type="paragraph" w:customStyle="1" w:styleId="BodySmallRight">
    <w:name w:val="Body Small Right"/>
    <w:basedOn w:val="BodyTextRight"/>
    <w:rsid w:val="004B0D6E"/>
    <w:rPr>
      <w:sz w:val="18"/>
      <w:szCs w:val="18"/>
    </w:rPr>
  </w:style>
  <w:style w:type="paragraph" w:customStyle="1" w:styleId="MarginEdition">
    <w:name w:val="Margin Edition"/>
    <w:basedOn w:val="MarginNote"/>
    <w:rsid w:val="004B0D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D6E"/>
    <w:rPr>
      <w:sz w:val="2"/>
      <w:szCs w:val="2"/>
    </w:rPr>
  </w:style>
  <w:style w:type="character" w:customStyle="1" w:styleId="Small">
    <w:name w:val="Small"/>
    <w:basedOn w:val="DefaultParagraphFont"/>
    <w:rsid w:val="004B0D6E"/>
    <w:rPr>
      <w:sz w:val="16"/>
    </w:rPr>
  </w:style>
  <w:style w:type="paragraph" w:customStyle="1" w:styleId="WideTable">
    <w:name w:val="Wide Table"/>
    <w:basedOn w:val="Normal"/>
    <w:rsid w:val="004B0D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D6E"/>
  </w:style>
  <w:style w:type="paragraph" w:styleId="Quote">
    <w:name w:val="Quote"/>
    <w:basedOn w:val="Heading1"/>
    <w:link w:val="QuoteChar"/>
    <w:qFormat/>
    <w:rsid w:val="004B0D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D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D6E"/>
    <w:pPr>
      <w:pageBreakBefore/>
    </w:pPr>
  </w:style>
  <w:style w:type="paragraph" w:customStyle="1" w:styleId="Border">
    <w:name w:val="Border"/>
    <w:basedOn w:val="Normal"/>
    <w:qFormat/>
    <w:rsid w:val="004B0D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D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D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D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D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D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D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D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D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D6E"/>
    <w:rPr>
      <w:u w:val="single"/>
    </w:rPr>
  </w:style>
  <w:style w:type="character" w:customStyle="1" w:styleId="BoldandItalics">
    <w:name w:val="Bold and Italics"/>
    <w:qFormat/>
    <w:rsid w:val="004B0D6E"/>
    <w:rPr>
      <w:b/>
      <w:i/>
      <w:u w:val="none"/>
    </w:rPr>
  </w:style>
  <w:style w:type="paragraph" w:styleId="BalloonText">
    <w:name w:val="Balloon Text"/>
    <w:basedOn w:val="Normal"/>
    <w:link w:val="BalloonTextChar"/>
    <w:rsid w:val="004B0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D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D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D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D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D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D6E"/>
    <w:pPr>
      <w:spacing w:before="0" w:after="0"/>
    </w:pPr>
  </w:style>
  <w:style w:type="paragraph" w:customStyle="1" w:styleId="BodyTextBold">
    <w:name w:val="Body Text Bold"/>
    <w:basedOn w:val="BodyText"/>
    <w:qFormat/>
    <w:rsid w:val="004B0D6E"/>
    <w:rPr>
      <w:b/>
    </w:rPr>
  </w:style>
  <w:style w:type="character" w:styleId="Hyperlink">
    <w:name w:val="Hyperlink"/>
    <w:basedOn w:val="DefaultParagraphFont"/>
    <w:uiPriority w:val="99"/>
    <w:unhideWhenUsed/>
    <w:rsid w:val="008E66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2938</Characters>
  <Application>Microsoft Office Word</Application>
  <DocSecurity>0</DocSecurity>
  <Lines>81</Lines>
  <Paragraphs>61</Paragraphs>
  <ScaleCrop>false</ScaleCrop>
  <Company>Author-it Software Corporation Ltd.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AURETR147 Recharge vehicle batteries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2023-12-19T07:00:00Z</dcterms:created>
  <dcterms:modified xsi:type="dcterms:W3CDTF">2023-12-19T07:00:00Z</dcterms:modified>
</cp:coreProperties>
</file>