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D2509" w:rsidP="006D250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AURETR104 Diagnose complex faults in convenience and entertainment systems</w:t>
      </w:r>
      <w:r>
        <w:fldChar w:fldCharType="end"/>
      </w:r>
    </w:p>
    <w:p w:rsidR="006D2509" w:rsidP="006D2509">
      <w:pPr>
        <w:pStyle w:val="Version"/>
        <w:sectPr w:rsidSect="006D146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D1468" w:rsidP="006D1468">
      <w:pPr>
        <w:pStyle w:val="SuperHeading"/>
      </w:pPr>
      <w:r w:rsidRPr="006D1468">
        <w:t>Assessment Requirements for AURETR104 Diagnose complex faults in convenience and entertainment systems</w:t>
      </w:r>
    </w:p>
    <w:p w:rsidR="00000000" w:rsidRPr="006D1468" w:rsidP="006D1468">
      <w:pPr>
        <w:pStyle w:val="Heading1"/>
      </w:pPr>
      <w:bookmarkStart w:id="1" w:name="O_1110975"/>
      <w:bookmarkEnd w:id="1"/>
      <w:r w:rsidRPr="006D146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6D14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468" w:rsidP="006D1468">
            <w:pPr>
              <w:pStyle w:val="BodyText"/>
            </w:pPr>
            <w:r w:rsidRPr="006D1468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468">
            <w:pPr>
              <w:pStyle w:val="BodyText"/>
              <w:rPr>
                <w:lang w:val="en-NZ"/>
              </w:rPr>
            </w:pPr>
            <w:r w:rsidRPr="006D1468">
              <w:rPr>
                <w:rStyle w:val="SpecialBold"/>
              </w:rPr>
              <w:t>Comments</w:t>
            </w:r>
          </w:p>
        </w:tc>
      </w:tr>
      <w:tr w:rsidTr="006D14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468">
            <w:pPr>
              <w:pStyle w:val="BodyText"/>
              <w:rPr>
                <w:lang w:val="en-NZ"/>
              </w:rPr>
            </w:pPr>
            <w:r w:rsidRPr="006D1468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468" w:rsidP="006D1468">
            <w:pPr>
              <w:pStyle w:val="BodyText"/>
            </w:pPr>
            <w:r w:rsidRPr="006D1468">
              <w:t>This version first released with AUR Automotiv</w:t>
            </w:r>
            <w:r w:rsidRPr="006D1468">
              <w:t>e Retail, Service and Repair Training Package Version 6.0</w:t>
            </w:r>
          </w:p>
        </w:tc>
      </w:tr>
    </w:tbl>
    <w:p w:rsidR="00000000" w:rsidRPr="006D1468" w:rsidP="006D1468">
      <w:pPr>
        <w:pStyle w:val="BodyText"/>
      </w:pPr>
    </w:p>
    <w:p w:rsidR="00000000" w:rsidRPr="006D1468" w:rsidP="006D1468">
      <w:pPr>
        <w:pStyle w:val="AllowPageBreak"/>
      </w:pPr>
    </w:p>
    <w:p w:rsidR="00000000" w:rsidRPr="006D1468" w:rsidP="006D1468">
      <w:pPr>
        <w:pStyle w:val="Heading1"/>
      </w:pPr>
      <w:bookmarkStart w:id="2" w:name="O_1110978"/>
      <w:bookmarkEnd w:id="2"/>
      <w:r w:rsidRPr="006D1468">
        <w:t>Performance Evidence</w:t>
      </w:r>
    </w:p>
    <w:p w:rsidR="00000000" w:rsidRPr="006D1468" w:rsidP="006D2509">
      <w:pPr>
        <w:pStyle w:val="BodyText"/>
      </w:pPr>
      <w:r w:rsidRPr="006D1468">
        <w:t>The candidate must demonstrate the ability to complete the tasks outlined in the elements, performance criteria and foundation skills of this unit, includin</w:t>
      </w:r>
      <w:r w:rsidRPr="006D1468">
        <w:t>g evidence of the ability to:</w:t>
      </w:r>
    </w:p>
    <w:p w:rsidR="00000000" w:rsidRPr="006D1468" w:rsidP="006D1468">
      <w:pPr>
        <w:pStyle w:val="ListBullet"/>
      </w:pPr>
      <w:r w:rsidRPr="006D1468">
        <w:t>diagnose a complex fault in the convenience and entertainment systems of two different vehicles, vessels or machinery in which the work for each must involve a different complex fault selected from the following:</w:t>
      </w:r>
    </w:p>
    <w:p w:rsidR="00000000" w:rsidRPr="006D1468" w:rsidP="006D1468">
      <w:pPr>
        <w:pStyle w:val="ListBullet2"/>
      </w:pPr>
      <w:r w:rsidRPr="006D1468">
        <w:t>an intermit</w:t>
      </w:r>
      <w:r w:rsidRPr="006D1468">
        <w:t>tent fault</w:t>
      </w:r>
    </w:p>
    <w:p w:rsidR="00000000" w:rsidRPr="006D1468" w:rsidP="006D1468">
      <w:pPr>
        <w:pStyle w:val="ListBullet2"/>
      </w:pPr>
      <w:r w:rsidRPr="006D1468">
        <w:t>a fault that affects more than one system</w:t>
      </w:r>
    </w:p>
    <w:p w:rsidR="00000000" w:rsidRPr="006D1468" w:rsidP="006D1468">
      <w:pPr>
        <w:pStyle w:val="ListBullet2"/>
      </w:pPr>
      <w:r w:rsidRPr="006D1468">
        <w:t>a fault introduced as a result of a system repair</w:t>
      </w:r>
    </w:p>
    <w:p w:rsidR="00000000" w:rsidRPr="006D1468" w:rsidP="006D1468">
      <w:pPr>
        <w:pStyle w:val="ListBullet2"/>
      </w:pPr>
      <w:r w:rsidRPr="006D1468">
        <w:t xml:space="preserve">an indirect fault caused by the influence of external systems </w:t>
      </w:r>
    </w:p>
    <w:p w:rsidR="00000000" w:rsidRPr="006D1468" w:rsidP="006D1468">
      <w:pPr>
        <w:pStyle w:val="ListBullet"/>
      </w:pPr>
      <w:r w:rsidRPr="006D1468">
        <w:t>develop a testing strategy to diagnose the cause of the complex faults in the above two vehicles.</w:t>
      </w:r>
    </w:p>
    <w:p w:rsidR="00000000" w:rsidRPr="006D1468" w:rsidP="006D1468">
      <w:pPr>
        <w:pStyle w:val="AllowPageBreak"/>
      </w:pPr>
    </w:p>
    <w:p w:rsidR="00000000" w:rsidRPr="006D1468" w:rsidP="006D1468">
      <w:pPr>
        <w:pStyle w:val="Heading1"/>
      </w:pPr>
      <w:bookmarkStart w:id="3" w:name="O_1110977"/>
      <w:bookmarkEnd w:id="3"/>
      <w:r w:rsidRPr="006D1468">
        <w:t>Knowledge Evidence</w:t>
      </w:r>
    </w:p>
    <w:p w:rsidR="00000000" w:rsidRPr="006D1468" w:rsidP="006D2509">
      <w:pPr>
        <w:pStyle w:val="BodyText"/>
      </w:pPr>
      <w:r w:rsidRPr="006D1468">
        <w:t>The candidate must be able to demonstrate knowledge to complete the tasks outlined in the elements, performance criteria</w:t>
      </w:r>
      <w:r w:rsidRPr="006D1468">
        <w:t xml:space="preserve"> and foundation skills of this unit, including knowledge of:</w:t>
      </w:r>
    </w:p>
    <w:p w:rsidR="00000000" w:rsidRPr="006D1468" w:rsidP="006D1468">
      <w:pPr>
        <w:pStyle w:val="ListBullet"/>
      </w:pPr>
      <w:r w:rsidRPr="006D1468">
        <w:t>methods to locate and interpret information required to diagnose and repair complex faults in convenience and entertainment systems, including:</w:t>
      </w:r>
    </w:p>
    <w:p w:rsidR="00000000" w:rsidRPr="006D1468" w:rsidP="006D1468">
      <w:pPr>
        <w:pStyle w:val="ListBullet2"/>
      </w:pPr>
      <w:r w:rsidRPr="006D1468">
        <w:t>convenience and entertainment system manufacturer</w:t>
      </w:r>
      <w:r w:rsidRPr="006D1468">
        <w:t xml:space="preserve"> specifications</w:t>
      </w:r>
    </w:p>
    <w:p w:rsidR="00000000" w:rsidRPr="006D1468" w:rsidP="006D1468">
      <w:pPr>
        <w:pStyle w:val="ListBullet2"/>
      </w:pPr>
      <w:r w:rsidRPr="006D1468">
        <w:t>workplace procedures</w:t>
      </w:r>
    </w:p>
    <w:p w:rsidR="00000000" w:rsidRPr="006D1468" w:rsidP="006D1468">
      <w:pPr>
        <w:pStyle w:val="ListBullet"/>
      </w:pPr>
      <w:r w:rsidRPr="006D1468">
        <w:t>workplace procedures required to diagnose and repair complex faults in convenience and entertainment systems, including:</w:t>
      </w:r>
    </w:p>
    <w:p w:rsidR="00000000" w:rsidRPr="006D1468" w:rsidP="006D1468">
      <w:pPr>
        <w:pStyle w:val="ListBullet2"/>
      </w:pPr>
      <w:r w:rsidRPr="006D1468">
        <w:t xml:space="preserve">establishing the serviceability of tools and equipment </w:t>
      </w:r>
    </w:p>
    <w:p w:rsidR="00000000" w:rsidRPr="006D1468" w:rsidP="006D1468">
      <w:pPr>
        <w:pStyle w:val="ListBullet2"/>
      </w:pPr>
      <w:r w:rsidRPr="006D1468">
        <w:t>documentation procedures</w:t>
      </w:r>
    </w:p>
    <w:p w:rsidR="00000000" w:rsidRPr="006D1468" w:rsidP="006D1468">
      <w:pPr>
        <w:pStyle w:val="ListBullet2"/>
      </w:pPr>
      <w:r w:rsidRPr="006D1468">
        <w:t>housekeeping pr</w:t>
      </w:r>
      <w:r w:rsidRPr="006D1468">
        <w:t>ocedures, including:</w:t>
      </w:r>
    </w:p>
    <w:p w:rsidR="00000000" w:rsidRPr="006D1468" w:rsidP="006D1468">
      <w:pPr>
        <w:pStyle w:val="ListBullet3"/>
      </w:pPr>
      <w:r w:rsidRPr="006D1468">
        <w:t>examination of tools and equipment</w:t>
      </w:r>
    </w:p>
    <w:p w:rsidR="00000000" w:rsidRPr="006D1468" w:rsidP="006D1468">
      <w:pPr>
        <w:pStyle w:val="ListBullet3"/>
      </w:pPr>
      <w:r w:rsidRPr="006D1468">
        <w:t>storage of equipment</w:t>
      </w:r>
    </w:p>
    <w:p w:rsidR="00000000" w:rsidRPr="006D1468" w:rsidP="006D1468">
      <w:pPr>
        <w:pStyle w:val="ListBullet3"/>
      </w:pPr>
      <w:r w:rsidRPr="006D1468">
        <w:t>identification, tagging and isolation of faulty equipment</w:t>
      </w:r>
    </w:p>
    <w:p w:rsidR="00000000" w:rsidRPr="006D1468" w:rsidP="006D1468">
      <w:pPr>
        <w:pStyle w:val="ListBullet3"/>
      </w:pPr>
      <w:r w:rsidRPr="006D1468">
        <w:t>safe disposal of materials</w:t>
      </w:r>
    </w:p>
    <w:p w:rsidR="00000000" w:rsidRPr="006D1468" w:rsidP="006D1468">
      <w:pPr>
        <w:pStyle w:val="ListBullet3"/>
      </w:pPr>
      <w:r w:rsidRPr="006D1468">
        <w:t>recycling procedures</w:t>
      </w:r>
    </w:p>
    <w:p w:rsidR="00000000" w:rsidRPr="006D1468" w:rsidP="006D1468">
      <w:pPr>
        <w:pStyle w:val="ListBullet"/>
      </w:pPr>
      <w:r w:rsidRPr="006D1468">
        <w:t>workplace health</w:t>
      </w:r>
      <w:r w:rsidRPr="006D1468">
        <w:t xml:space="preserve"> and safety (WHS) requirements relating to diagnosing complex faults in vehicle convenience and entertainment systems, including procedures for identifying hazards and controlling risks associated with:</w:t>
      </w:r>
    </w:p>
    <w:p w:rsidR="00000000" w:rsidRPr="006D1468" w:rsidP="006D1468">
      <w:pPr>
        <w:pStyle w:val="ListBullet2"/>
      </w:pPr>
      <w:r w:rsidRPr="006D1468">
        <w:t>working around vehicle supplementary restraint syste</w:t>
      </w:r>
      <w:r w:rsidRPr="006D1468">
        <w:t>ms (SRS), including airbags</w:t>
      </w:r>
    </w:p>
    <w:p w:rsidR="00000000" w:rsidRPr="006D1468" w:rsidP="006D1468">
      <w:pPr>
        <w:pStyle w:val="ListBullet2"/>
      </w:pPr>
      <w:r w:rsidRPr="006D1468">
        <w:t>wearing jewellery while working around high electrical currents</w:t>
      </w:r>
    </w:p>
    <w:p w:rsidR="00000000" w:rsidRPr="006D1468" w:rsidP="006D1468">
      <w:pPr>
        <w:pStyle w:val="ListBullet"/>
      </w:pPr>
      <w:r w:rsidRPr="006D1468">
        <w:t>environmental requirements relating to convenience and entertainment systems</w:t>
      </w:r>
    </w:p>
    <w:p w:rsidR="00000000" w:rsidRPr="006D1468" w:rsidP="006D1468">
      <w:pPr>
        <w:pStyle w:val="ListBullet"/>
      </w:pPr>
      <w:r w:rsidRPr="006D1468">
        <w:t>types of complex faults relating to vehicle convenience and entertainment systems, including:</w:t>
      </w:r>
    </w:p>
    <w:p w:rsidR="00000000" w:rsidRPr="006D1468" w:rsidP="006D1468">
      <w:pPr>
        <w:pStyle w:val="ListBullet2"/>
      </w:pPr>
      <w:r w:rsidRPr="006D1468">
        <w:t>intermittent</w:t>
      </w:r>
    </w:p>
    <w:p w:rsidR="00000000" w:rsidRPr="006D1468" w:rsidP="006D1468">
      <w:pPr>
        <w:pStyle w:val="ListBullet2"/>
      </w:pPr>
      <w:r w:rsidRPr="006D1468">
        <w:t>multi-system</w:t>
      </w:r>
    </w:p>
    <w:p w:rsidR="00000000" w:rsidRPr="006D1468" w:rsidP="006D1468">
      <w:pPr>
        <w:pStyle w:val="ListBullet2"/>
      </w:pPr>
      <w:r w:rsidRPr="006D1468">
        <w:t>introduced as a result of system repair</w:t>
      </w:r>
    </w:p>
    <w:p w:rsidR="00000000" w:rsidRPr="006D1468" w:rsidP="006D1468">
      <w:pPr>
        <w:pStyle w:val="ListBullet2"/>
      </w:pPr>
      <w:r w:rsidRPr="006D1468">
        <w:t>indirect, caused by the influence of external systems</w:t>
      </w:r>
    </w:p>
    <w:p w:rsidR="00000000" w:rsidRPr="006D1468" w:rsidP="006D1468">
      <w:pPr>
        <w:pStyle w:val="ListBullet"/>
      </w:pPr>
      <w:r w:rsidRPr="006D1468">
        <w:t>key features of convenience and entertai</w:t>
      </w:r>
      <w:r w:rsidRPr="006D1468">
        <w:t>nment systems in vehicles, vessels or machinery, including:</w:t>
      </w:r>
    </w:p>
    <w:p w:rsidR="00000000" w:rsidRPr="006D1468" w:rsidP="006D1468">
      <w:pPr>
        <w:pStyle w:val="ListBullet2"/>
      </w:pPr>
      <w:r w:rsidRPr="006D1468">
        <w:t>infotainment systems</w:t>
      </w:r>
    </w:p>
    <w:p w:rsidR="00000000" w:rsidRPr="006D1468" w:rsidP="006D1468">
      <w:pPr>
        <w:pStyle w:val="ListBullet2"/>
      </w:pPr>
      <w:r w:rsidRPr="006D1468">
        <w:t>telematics systems</w:t>
      </w:r>
    </w:p>
    <w:p w:rsidR="00000000" w:rsidRPr="006D1468" w:rsidP="006D1468">
      <w:pPr>
        <w:pStyle w:val="ListBullet2"/>
      </w:pPr>
      <w:r w:rsidRPr="006D1468">
        <w:t>intelligent transport systems</w:t>
      </w:r>
    </w:p>
    <w:p w:rsidR="00000000" w:rsidRPr="006D1468" w:rsidP="006D1468">
      <w:pPr>
        <w:pStyle w:val="ListBullet2"/>
      </w:pPr>
      <w:r w:rsidRPr="006D1468">
        <w:t>safety restraint systems</w:t>
      </w:r>
    </w:p>
    <w:p w:rsidR="00000000" w:rsidRPr="006D1468" w:rsidP="006D1468">
      <w:pPr>
        <w:pStyle w:val="ListBullet2"/>
      </w:pPr>
      <w:r w:rsidRPr="006D1468">
        <w:t>passenger comfort systems</w:t>
      </w:r>
    </w:p>
    <w:p w:rsidR="00000000" w:rsidRPr="006D1468" w:rsidP="006D1468">
      <w:pPr>
        <w:pStyle w:val="ListBullet"/>
      </w:pPr>
      <w:r w:rsidRPr="006D1468">
        <w:t>testing procedures for vehicle convenience and entertainment systems, inc</w:t>
      </w:r>
      <w:r w:rsidRPr="006D1468">
        <w:t>luding:</w:t>
      </w:r>
    </w:p>
    <w:p w:rsidR="00000000" w:rsidRPr="006D1468" w:rsidP="006D1468">
      <w:pPr>
        <w:pStyle w:val="ListBullet2"/>
      </w:pPr>
      <w:r w:rsidRPr="006D1468">
        <w:t>using digital multimeter, scan tool and oscilloscope</w:t>
      </w:r>
    </w:p>
    <w:p w:rsidR="00000000" w:rsidRPr="006D1468" w:rsidP="006D1468">
      <w:pPr>
        <w:pStyle w:val="ListBullet2"/>
      </w:pPr>
      <w:r w:rsidRPr="006D1468">
        <w:t>component wear analysis</w:t>
      </w:r>
    </w:p>
    <w:p w:rsidR="00000000" w:rsidRPr="006D1468" w:rsidP="006D1468">
      <w:pPr>
        <w:pStyle w:val="ListBullet2"/>
      </w:pPr>
      <w:r w:rsidRPr="006D1468">
        <w:t>system operation analysis</w:t>
      </w:r>
    </w:p>
    <w:p w:rsidR="00000000" w:rsidRPr="006D1468" w:rsidP="006D1468">
      <w:pPr>
        <w:pStyle w:val="ListBullet2"/>
      </w:pPr>
      <w:r w:rsidRPr="006D1468">
        <w:t>vehicle continuous and non-continuous monitored systems</w:t>
      </w:r>
    </w:p>
    <w:p w:rsidR="00000000" w:rsidRPr="006D1468" w:rsidP="006D1468">
      <w:pPr>
        <w:pStyle w:val="ListBullet"/>
      </w:pPr>
      <w:r w:rsidRPr="006D1468">
        <w:t>key features and limitations of diagnostic testing equipment required to diagnose complex faults in vehicle convenience and entertainment systems</w:t>
      </w:r>
    </w:p>
    <w:p w:rsidR="00000000" w:rsidRPr="006D1468" w:rsidP="006D1468">
      <w:pPr>
        <w:pStyle w:val="ListBullet"/>
      </w:pPr>
      <w:r w:rsidRPr="006D1468">
        <w:t>procedures for accessing and interpreting scan tool system data, including:</w:t>
      </w:r>
    </w:p>
    <w:p w:rsidR="00000000" w:rsidRPr="006D1468" w:rsidP="006D1468">
      <w:pPr>
        <w:pStyle w:val="ListBullet2"/>
      </w:pPr>
      <w:r w:rsidRPr="006D1468">
        <w:t xml:space="preserve">diagnostic trouble codes (DTCs), </w:t>
      </w:r>
      <w:r w:rsidRPr="006D1468">
        <w:t>including:</w:t>
      </w:r>
    </w:p>
    <w:p w:rsidR="00000000" w:rsidRPr="006D1468" w:rsidP="006D1468">
      <w:pPr>
        <w:pStyle w:val="ListBullet3"/>
      </w:pPr>
      <w:r w:rsidRPr="006D1468">
        <w:t>conditions that set the DTCs</w:t>
      </w:r>
    </w:p>
    <w:p w:rsidR="00000000" w:rsidRPr="006D1468" w:rsidP="006D1468">
      <w:pPr>
        <w:pStyle w:val="ListBullet3"/>
      </w:pPr>
      <w:r w:rsidRPr="006D1468">
        <w:t>conditions for running DTCs.</w:t>
      </w:r>
    </w:p>
    <w:p w:rsidR="00000000" w:rsidRPr="006D1468" w:rsidP="006D1468">
      <w:pPr>
        <w:pStyle w:val="AllowPageBreak"/>
      </w:pPr>
    </w:p>
    <w:p w:rsidR="00000000" w:rsidRPr="006D1468" w:rsidP="006D1468">
      <w:pPr>
        <w:pStyle w:val="Heading1"/>
      </w:pPr>
      <w:bookmarkStart w:id="4" w:name="O_1110976"/>
      <w:bookmarkEnd w:id="4"/>
      <w:r w:rsidRPr="006D1468">
        <w:t>Assessment Conditions</w:t>
      </w:r>
    </w:p>
    <w:p w:rsidR="00000000" w:rsidRPr="006D1468" w:rsidP="006D2509">
      <w:pPr>
        <w:pStyle w:val="BodyText"/>
      </w:pPr>
      <w:r w:rsidRPr="006D1468">
        <w:t>Competency is to be assessed in the workplace or a simulated environment that accurately reflects performance in a real workplace setting.</w:t>
      </w:r>
    </w:p>
    <w:p w:rsidR="00000000" w:rsidRPr="006D1468" w:rsidP="006D2509">
      <w:pPr>
        <w:pStyle w:val="BodyText"/>
      </w:pPr>
      <w:r w:rsidRPr="006D1468">
        <w:t>Assessment must include direct observation of tasks.</w:t>
      </w:r>
    </w:p>
    <w:p w:rsidR="00000000" w:rsidRPr="006D1468" w:rsidP="006D2509">
      <w:pPr>
        <w:pStyle w:val="BodyText"/>
      </w:pPr>
      <w:r w:rsidRPr="006D1468">
        <w:t>Where assessment of competency includes third-party evidence, individuals must provide evidence that links them to the convenience and entertainment systems that they have worked on, e.g. repair orders.</w:t>
      </w:r>
    </w:p>
    <w:p w:rsidR="00000000" w:rsidRPr="006D1468" w:rsidP="006D2509">
      <w:pPr>
        <w:pStyle w:val="BodyText"/>
      </w:pPr>
      <w:r w:rsidRPr="006D1468">
        <w:t>Assessors must verify performance evidence through questioning on skills and knowledge to ensure correct interpretation and application.</w:t>
      </w:r>
    </w:p>
    <w:p w:rsidR="00000000" w:rsidRPr="006D1468" w:rsidP="006D2509">
      <w:pPr>
        <w:pStyle w:val="BodyText"/>
      </w:pPr>
      <w:r w:rsidRPr="006D1468">
        <w:t>The following resources must be made available:</w:t>
      </w:r>
    </w:p>
    <w:p w:rsidR="00000000" w:rsidRPr="006D1468" w:rsidP="006D1468">
      <w:pPr>
        <w:pStyle w:val="ListBullet"/>
      </w:pPr>
      <w:r w:rsidRPr="006D1468">
        <w:t>automotive repair workplace or simulated workplace</w:t>
      </w:r>
    </w:p>
    <w:p w:rsidR="00000000" w:rsidRPr="006D1468" w:rsidP="006D1468">
      <w:pPr>
        <w:pStyle w:val="ListBullet"/>
      </w:pPr>
      <w:r w:rsidRPr="006D1468">
        <w:t>workplace instructi</w:t>
      </w:r>
      <w:r w:rsidRPr="006D1468">
        <w:t>ons</w:t>
      </w:r>
    </w:p>
    <w:p w:rsidR="00000000" w:rsidRPr="006D1468" w:rsidP="006D1468">
      <w:pPr>
        <w:pStyle w:val="ListBullet"/>
      </w:pPr>
      <w:r w:rsidRPr="006D1468">
        <w:t>manufacturer convenience and entertainment system specifications</w:t>
      </w:r>
    </w:p>
    <w:p w:rsidR="00000000" w:rsidRPr="006D1468" w:rsidP="006D1468">
      <w:pPr>
        <w:pStyle w:val="ListBullet"/>
      </w:pPr>
      <w:r w:rsidRPr="006D1468">
        <w:t>two different vehicles, vessels or machinery with complex faults in their convenience and entertainment systems</w:t>
      </w:r>
    </w:p>
    <w:p w:rsidR="00000000" w:rsidRPr="006D1468" w:rsidP="006D1468">
      <w:pPr>
        <w:pStyle w:val="ListBullet"/>
      </w:pPr>
      <w:r w:rsidRPr="006D1468">
        <w:t>convenience and entertainment system electrical and electronic system diagn</w:t>
      </w:r>
      <w:r w:rsidRPr="006D1468">
        <w:t>ostic equipment, including:</w:t>
      </w:r>
    </w:p>
    <w:p w:rsidR="00000000" w:rsidRPr="006D1468" w:rsidP="006D1468">
      <w:pPr>
        <w:pStyle w:val="ListBullet2"/>
      </w:pPr>
      <w:r w:rsidRPr="006D1468">
        <w:t>digital multimeter</w:t>
      </w:r>
    </w:p>
    <w:p w:rsidR="00000000" w:rsidRPr="006D1468" w:rsidP="006D1468">
      <w:pPr>
        <w:pStyle w:val="ListBullet2"/>
      </w:pPr>
      <w:r w:rsidRPr="006D1468">
        <w:t>scan tool</w:t>
      </w:r>
    </w:p>
    <w:p w:rsidR="00000000" w:rsidRPr="006D1468" w:rsidP="006D1468">
      <w:pPr>
        <w:pStyle w:val="ListBullet"/>
      </w:pPr>
      <w:r w:rsidRPr="006D1468">
        <w:t>tools, equipment and materials appropriate for diagnosing complex faults in convenience and entertainment systems.</w:t>
      </w:r>
    </w:p>
    <w:p w:rsidR="00000000" w:rsidRPr="006D1468" w:rsidP="006D1468">
      <w:pPr>
        <w:pStyle w:val="List"/>
      </w:pPr>
    </w:p>
    <w:p w:rsidR="00000000" w:rsidRPr="006D1468" w:rsidP="006D2509">
      <w:pPr>
        <w:pStyle w:val="BodyText"/>
      </w:pPr>
      <w:r w:rsidRPr="006D1468">
        <w:t>Assessors of this unit must satisfy the requirements for assessors in applicable vocational education and training legislation, frameworks and/or standards.</w:t>
      </w:r>
    </w:p>
    <w:p w:rsidR="00000000" w:rsidRPr="006D1468" w:rsidP="006D1468">
      <w:pPr>
        <w:pStyle w:val="Heading1"/>
      </w:pPr>
      <w:bookmarkStart w:id="5" w:name="O_1110974"/>
      <w:bookmarkEnd w:id="5"/>
      <w:r w:rsidRPr="006D1468">
        <w:t>Links</w:t>
      </w:r>
    </w:p>
    <w:p w:rsidR="00000000" w:rsidRPr="006D1468" w:rsidP="006D2509">
      <w:pPr>
        <w:pStyle w:val="BodyText"/>
      </w:pPr>
      <w:r w:rsidRPr="006D146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F90A9B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6D1468" w:rsidP="006D1468"/>
    <w:sectPr w:rsidSect="006D146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146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1468" w:rsidRPr="006D2509" w:rsidP="006D250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146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2509" w:rsidP="006D146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D2509" w:rsidP="006D146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D2509" w:rsidP="006D146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146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250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D1468" w:rsidRPr="006D2509" w:rsidP="006D250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146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2509" w:rsidRPr="002D2AF8" w:rsidP="006D146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AURETR104 Diagnose complex faults in convenience and entertainment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February 2022</w:t>
    </w:r>
    <w:r>
      <w:fldChar w:fldCharType="end"/>
    </w:r>
  </w:p>
  <w:p w:rsidR="006D2509" w:rsidP="006D146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EA260B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86C31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B06FD4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146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D146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D146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D146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D146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D146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D146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D146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D146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D146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D146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D1468"/>
  </w:style>
  <w:style w:type="character" w:customStyle="1" w:styleId="Heading1Char">
    <w:name w:val="Heading 1 Char"/>
    <w:basedOn w:val="DefaultParagraphFont"/>
    <w:link w:val="Heading1"/>
    <w:rsid w:val="006D146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D146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D146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D146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D1468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D1468"/>
    <w:rPr>
      <w:b/>
      <w:spacing w:val="0"/>
    </w:rPr>
  </w:style>
  <w:style w:type="paragraph" w:styleId="ListBullet2">
    <w:name w:val="List Bullet 2"/>
    <w:basedOn w:val="List2"/>
    <w:rsid w:val="006D1468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D146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D146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6D1468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6D146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D146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D146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D14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D14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D14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D14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D146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D146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D146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D146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D146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D146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D146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D146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D146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D146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D146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D146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D146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D146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D146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D146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D146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D146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D146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D146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D146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D146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D146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D146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D1468"/>
    <w:rPr>
      <w:i/>
    </w:rPr>
  </w:style>
  <w:style w:type="paragraph" w:styleId="Caption">
    <w:name w:val="caption"/>
    <w:basedOn w:val="BodyText"/>
    <w:next w:val="Normal"/>
    <w:qFormat/>
    <w:rsid w:val="006D146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D146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D146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D1468"/>
  </w:style>
  <w:style w:type="paragraph" w:styleId="TableofFigures">
    <w:name w:val="table of figures"/>
    <w:basedOn w:val="Normal"/>
    <w:next w:val="Normal"/>
    <w:semiHidden/>
    <w:rsid w:val="006D146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D1468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6D1468"/>
    <w:rPr>
      <w:rFonts w:ascii="Wingdings" w:hAnsi="Wingdings"/>
    </w:rPr>
  </w:style>
  <w:style w:type="paragraph" w:customStyle="1" w:styleId="TableHeading">
    <w:name w:val="Table Heading"/>
    <w:basedOn w:val="HeadingBase"/>
    <w:rsid w:val="006D146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D1468"/>
    <w:rPr>
      <w:color w:val="0033CC"/>
      <w:u w:val="none"/>
    </w:rPr>
  </w:style>
  <w:style w:type="paragraph" w:customStyle="1" w:styleId="BodyTextRight">
    <w:name w:val="Body Text Right"/>
    <w:basedOn w:val="BodyText"/>
    <w:rsid w:val="006D146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D146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D1468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D146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D146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D146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D1468"/>
    <w:rPr>
      <w:sz w:val="32"/>
    </w:rPr>
  </w:style>
  <w:style w:type="paragraph" w:customStyle="1" w:styleId="HeadingProcedure">
    <w:name w:val="Heading Procedure"/>
    <w:basedOn w:val="HeadingBase"/>
    <w:next w:val="Normal"/>
    <w:rsid w:val="006D146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D1468"/>
    <w:pPr>
      <w:spacing w:before="60" w:after="60"/>
    </w:pPr>
  </w:style>
  <w:style w:type="paragraph" w:styleId="ListContinue">
    <w:name w:val="List Continue"/>
    <w:basedOn w:val="List"/>
    <w:rsid w:val="006D1468"/>
    <w:pPr>
      <w:ind w:firstLine="0"/>
    </w:pPr>
  </w:style>
  <w:style w:type="paragraph" w:customStyle="1" w:styleId="ListNote">
    <w:name w:val="List Note"/>
    <w:basedOn w:val="List"/>
    <w:rsid w:val="006D146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D146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D146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D1468"/>
    <w:rPr>
      <w:rFonts w:ascii="Courier New" w:hAnsi="Courier New"/>
    </w:rPr>
  </w:style>
  <w:style w:type="paragraph" w:customStyle="1" w:styleId="NoteBullet">
    <w:name w:val="Note Bullet"/>
    <w:basedOn w:val="Note"/>
    <w:rsid w:val="006D146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D146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D146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D146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D146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D146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D146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D1468"/>
    <w:rPr>
      <w:b/>
      <w:smallCaps/>
    </w:rPr>
  </w:style>
  <w:style w:type="paragraph" w:customStyle="1" w:styleId="TableListNumber">
    <w:name w:val="Table List Number"/>
    <w:basedOn w:val="ListNumber"/>
    <w:rsid w:val="006D146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D146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D1468"/>
    <w:pPr>
      <w:numPr>
        <w:numId w:val="10"/>
      </w:numPr>
    </w:pPr>
  </w:style>
  <w:style w:type="paragraph" w:customStyle="1" w:styleId="ListAlpha2">
    <w:name w:val="List Alpha 2"/>
    <w:basedOn w:val="List2"/>
    <w:rsid w:val="006D1468"/>
    <w:pPr>
      <w:numPr>
        <w:numId w:val="9"/>
      </w:numPr>
    </w:pPr>
  </w:style>
  <w:style w:type="paragraph" w:styleId="List2">
    <w:name w:val="List 2"/>
    <w:basedOn w:val="BodyText"/>
    <w:rsid w:val="006D146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D146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D146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D1468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6D1468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6D1468"/>
    <w:pPr>
      <w:numPr>
        <w:numId w:val="5"/>
      </w:numPr>
    </w:pPr>
  </w:style>
  <w:style w:type="paragraph" w:styleId="ListContinue2">
    <w:name w:val="List Continue 2"/>
    <w:basedOn w:val="List2"/>
    <w:rsid w:val="006D1468"/>
    <w:pPr>
      <w:ind w:firstLine="0"/>
    </w:pPr>
  </w:style>
  <w:style w:type="paragraph" w:styleId="ListContinue3">
    <w:name w:val="List Continue 3"/>
    <w:basedOn w:val="List3"/>
    <w:rsid w:val="006D1468"/>
    <w:pPr>
      <w:ind w:left="1021" w:firstLine="0"/>
    </w:pPr>
  </w:style>
  <w:style w:type="paragraph" w:styleId="ListContinue4">
    <w:name w:val="List Continue 4"/>
    <w:basedOn w:val="List4"/>
    <w:rsid w:val="006D1468"/>
    <w:pPr>
      <w:ind w:firstLine="0"/>
    </w:pPr>
  </w:style>
  <w:style w:type="paragraph" w:styleId="ListContinue5">
    <w:name w:val="List Continue 5"/>
    <w:basedOn w:val="List5"/>
    <w:rsid w:val="006D1468"/>
    <w:pPr>
      <w:ind w:firstLine="0"/>
    </w:pPr>
  </w:style>
  <w:style w:type="paragraph" w:styleId="ListNumber3">
    <w:name w:val="List Number 3"/>
    <w:basedOn w:val="List3"/>
    <w:rsid w:val="006D1468"/>
    <w:pPr>
      <w:numPr>
        <w:numId w:val="6"/>
      </w:numPr>
    </w:pPr>
  </w:style>
  <w:style w:type="paragraph" w:styleId="ListNumber4">
    <w:name w:val="List Number 4"/>
    <w:basedOn w:val="List4"/>
    <w:rsid w:val="006D1468"/>
    <w:pPr>
      <w:numPr>
        <w:numId w:val="7"/>
      </w:numPr>
    </w:pPr>
  </w:style>
  <w:style w:type="paragraph" w:styleId="ListNumber5">
    <w:name w:val="List Number 5"/>
    <w:basedOn w:val="List5"/>
    <w:rsid w:val="006D1468"/>
    <w:pPr>
      <w:numPr>
        <w:numId w:val="8"/>
      </w:numPr>
    </w:pPr>
  </w:style>
  <w:style w:type="paragraph" w:styleId="BlockText">
    <w:name w:val="Block Text"/>
    <w:basedOn w:val="Normal"/>
    <w:rsid w:val="006D146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D146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D1468"/>
    <w:rPr>
      <w:sz w:val="16"/>
      <w:vertAlign w:val="superscript"/>
    </w:rPr>
  </w:style>
  <w:style w:type="character" w:customStyle="1" w:styleId="Symbols">
    <w:name w:val="Symbols"/>
    <w:basedOn w:val="DefaultParagraphFont"/>
    <w:rsid w:val="006D1468"/>
    <w:rPr>
      <w:rFonts w:ascii="Symbol" w:hAnsi="Symbol"/>
    </w:rPr>
  </w:style>
  <w:style w:type="character" w:customStyle="1" w:styleId="MenuOptions">
    <w:name w:val="Menu Options"/>
    <w:basedOn w:val="DefaultParagraphFont"/>
    <w:rsid w:val="006D146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D1468"/>
    <w:rPr>
      <w:b/>
    </w:rPr>
  </w:style>
  <w:style w:type="character" w:customStyle="1" w:styleId="Underlined">
    <w:name w:val="Underlined"/>
    <w:basedOn w:val="DefaultParagraphFont"/>
    <w:rsid w:val="006D1468"/>
    <w:rPr>
      <w:u w:val="single"/>
    </w:rPr>
  </w:style>
  <w:style w:type="paragraph" w:customStyle="1" w:styleId="TableBodyTextRight">
    <w:name w:val="Table Body Text Right"/>
    <w:basedOn w:val="TableBodyText"/>
    <w:rsid w:val="006D146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D1468"/>
    <w:rPr>
      <w:sz w:val="18"/>
    </w:rPr>
  </w:style>
  <w:style w:type="paragraph" w:customStyle="1" w:styleId="BodySmallRight">
    <w:name w:val="Body Small Right"/>
    <w:basedOn w:val="BodyTextRight"/>
    <w:rsid w:val="006D1468"/>
    <w:rPr>
      <w:sz w:val="18"/>
      <w:szCs w:val="18"/>
    </w:rPr>
  </w:style>
  <w:style w:type="paragraph" w:customStyle="1" w:styleId="MarginEdition">
    <w:name w:val="Margin Edition"/>
    <w:basedOn w:val="MarginNote"/>
    <w:rsid w:val="006D146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D1468"/>
    <w:rPr>
      <w:sz w:val="2"/>
      <w:szCs w:val="2"/>
    </w:rPr>
  </w:style>
  <w:style w:type="character" w:customStyle="1" w:styleId="Small">
    <w:name w:val="Small"/>
    <w:basedOn w:val="DefaultParagraphFont"/>
    <w:rsid w:val="006D1468"/>
    <w:rPr>
      <w:sz w:val="16"/>
    </w:rPr>
  </w:style>
  <w:style w:type="paragraph" w:customStyle="1" w:styleId="WideTable">
    <w:name w:val="Wide Table"/>
    <w:basedOn w:val="Normal"/>
    <w:rsid w:val="006D146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D1468"/>
  </w:style>
  <w:style w:type="paragraph" w:styleId="Quote">
    <w:name w:val="Quote"/>
    <w:basedOn w:val="Heading1"/>
    <w:link w:val="QuoteChar"/>
    <w:qFormat/>
    <w:rsid w:val="006D146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D146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D1468"/>
    <w:pPr>
      <w:pageBreakBefore/>
    </w:pPr>
  </w:style>
  <w:style w:type="paragraph" w:customStyle="1" w:styleId="Border">
    <w:name w:val="Border"/>
    <w:basedOn w:val="Normal"/>
    <w:qFormat/>
    <w:rsid w:val="006D146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D146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146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146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D146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D146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D146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D146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D146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D1468"/>
    <w:rPr>
      <w:u w:val="single"/>
    </w:rPr>
  </w:style>
  <w:style w:type="character" w:customStyle="1" w:styleId="BoldandItalics">
    <w:name w:val="Bold and Italics"/>
    <w:qFormat/>
    <w:rsid w:val="006D1468"/>
    <w:rPr>
      <w:b/>
      <w:i/>
      <w:u w:val="none"/>
    </w:rPr>
  </w:style>
  <w:style w:type="paragraph" w:styleId="BalloonText">
    <w:name w:val="Balloon Text"/>
    <w:basedOn w:val="Normal"/>
    <w:link w:val="BalloonTextChar"/>
    <w:rsid w:val="006D14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D146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D146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D146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D146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D146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D1468"/>
    <w:pPr>
      <w:spacing w:before="0" w:after="0"/>
    </w:pPr>
  </w:style>
  <w:style w:type="paragraph" w:customStyle="1" w:styleId="BodyTextBold">
    <w:name w:val="Body Text Bold"/>
    <w:basedOn w:val="BodyText"/>
    <w:qFormat/>
    <w:rsid w:val="006D1468"/>
    <w:rPr>
      <w:b/>
    </w:rPr>
  </w:style>
  <w:style w:type="character" w:styleId="Hyperlink">
    <w:name w:val="Hyperlink"/>
    <w:basedOn w:val="DefaultParagraphFont"/>
    <w:uiPriority w:val="99"/>
    <w:unhideWhenUsed/>
    <w:rsid w:val="006D250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628</Words>
  <Characters>4290</Characters>
  <Application>Microsoft Office Word</Application>
  <DocSecurity>0</DocSecurity>
  <Lines>107</Lines>
  <Paragraphs>83</Paragraphs>
  <ScaleCrop>false</ScaleCrop>
  <Company>Author-it Software Corporation Ltd.</Company>
  <LinksUpToDate>false</LinksUpToDate>
  <CharactersWithSpaces>4835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AURETR104 Diagnose complex faults in convenience and entertainment systems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2022-02-23T11:45:00Z</dcterms:created>
  <dcterms:modified xsi:type="dcterms:W3CDTF">2022-02-23T11:45:00Z</dcterms:modified>
</cp:coreProperties>
</file>