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A3D" w:rsidP="00824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AURETR049 Install in-vehicle entertainment and convenience</w:t>
      </w:r>
      <w:r>
        <w:fldChar w:fldCharType="end"/>
      </w:r>
    </w:p>
    <w:p w:rsidR="00824A3D" w:rsidP="00824A3D">
      <w:pPr>
        <w:pStyle w:val="Version"/>
        <w:sectPr w:rsidSect="00354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835" w:rsidP="00354835">
      <w:pPr>
        <w:pStyle w:val="SuperHeading"/>
      </w:pPr>
      <w:r w:rsidRPr="00354835">
        <w:t>Assessment Requirements for AURETR049 Install in-vehicle entertainment and convenience</w:t>
      </w:r>
    </w:p>
    <w:p w:rsidR="00000000" w:rsidRPr="00354835" w:rsidP="00354835">
      <w:pPr>
        <w:pStyle w:val="Heading1"/>
      </w:pPr>
      <w:bookmarkStart w:id="1" w:name="O_1222682"/>
      <w:bookmarkEnd w:id="1"/>
      <w:r w:rsidRPr="003548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4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35" w:rsidP="00354835">
            <w:pPr>
              <w:pStyle w:val="BodyText"/>
            </w:pPr>
            <w:r w:rsidRPr="0035483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35">
            <w:pPr>
              <w:pStyle w:val="BodyText"/>
              <w:rPr>
                <w:lang w:val="en-NZ"/>
              </w:rPr>
            </w:pPr>
            <w:r w:rsidRPr="00354835">
              <w:rPr>
                <w:rStyle w:val="SpecialBold"/>
              </w:rPr>
              <w:t>Comments</w:t>
            </w:r>
          </w:p>
        </w:tc>
      </w:tr>
      <w:tr w:rsidTr="00354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835">
            <w:pPr>
              <w:pStyle w:val="BodyText"/>
              <w:rPr>
                <w:lang w:val="en-NZ"/>
              </w:rPr>
            </w:pPr>
            <w:r w:rsidRPr="0035483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835" w:rsidP="00354835">
            <w:pPr>
              <w:pStyle w:val="BodyText"/>
            </w:pPr>
            <w:r w:rsidRPr="00354835">
              <w:t>This version first released with the Automotive Retail, Service and Repair Training Package Version 7.0.</w:t>
            </w:r>
          </w:p>
          <w:p w:rsidR="00000000" w:rsidRPr="00354835" w:rsidP="00354835">
            <w:pPr>
              <w:pStyle w:val="BodyText"/>
            </w:pPr>
            <w:r w:rsidRPr="00354835">
              <w:t>Newly created unit.</w:t>
            </w:r>
          </w:p>
        </w:tc>
      </w:tr>
    </w:tbl>
    <w:p w:rsidR="00000000" w:rsidRPr="00354835" w:rsidP="00354835">
      <w:pPr>
        <w:pStyle w:val="BodyText"/>
      </w:pPr>
    </w:p>
    <w:p w:rsidR="00000000" w:rsidRPr="00354835" w:rsidP="00354835">
      <w:pPr>
        <w:pStyle w:val="AllowPageBreak"/>
      </w:pPr>
    </w:p>
    <w:p w:rsidR="00000000" w:rsidRPr="00354835" w:rsidP="00354835">
      <w:pPr>
        <w:pStyle w:val="Heading1"/>
      </w:pPr>
      <w:bookmarkStart w:id="2" w:name="O_1222683"/>
      <w:bookmarkEnd w:id="2"/>
      <w:r w:rsidRPr="00354835">
        <w:t>Performance Evidence</w:t>
      </w:r>
    </w:p>
    <w:p w:rsidR="00000000" w:rsidRPr="00354835" w:rsidP="00824A3D">
      <w:pPr>
        <w:pStyle w:val="BodyText"/>
      </w:pPr>
      <w:r w:rsidRPr="00354835">
        <w:t>The candidate must demonstrate the ability to complete the tasks outlined in the elements</w:t>
      </w:r>
      <w:r w:rsidRPr="00354835">
        <w:t xml:space="preserve">, performance criteria and foundation skills of this unit, including evidence of the ability to: </w:t>
      </w:r>
    </w:p>
    <w:p w:rsidR="00000000" w:rsidRPr="00354835" w:rsidP="00354835">
      <w:pPr>
        <w:pStyle w:val="ListBullet"/>
      </w:pPr>
      <w:r w:rsidRPr="00354835">
        <w:t>install two different in-vehicle entertainment and convenience systems into two different vehicles</w:t>
      </w:r>
    </w:p>
    <w:p w:rsidR="00000000" w:rsidRPr="00354835" w:rsidP="00354835">
      <w:pPr>
        <w:pStyle w:val="AllowPageBreak"/>
      </w:pPr>
    </w:p>
    <w:p w:rsidR="00000000" w:rsidRPr="00354835" w:rsidP="00354835">
      <w:pPr>
        <w:pStyle w:val="Heading1"/>
      </w:pPr>
      <w:bookmarkStart w:id="3" w:name="O_1222684"/>
      <w:bookmarkEnd w:id="3"/>
      <w:r w:rsidRPr="00354835">
        <w:t>Knowledge Evidence</w:t>
      </w:r>
    </w:p>
    <w:p w:rsidR="00000000" w:rsidRPr="00354835" w:rsidP="00824A3D">
      <w:pPr>
        <w:pStyle w:val="BodyText"/>
      </w:pPr>
      <w:r w:rsidRPr="00354835">
        <w:t>The candidate must be able to demonstrate knowledge to complete the tasks outlined in the elements, performance criteria and foundation skills of this unit, including knowledge of:</w:t>
      </w:r>
    </w:p>
    <w:p w:rsidR="00000000" w:rsidRPr="00354835" w:rsidP="00354835">
      <w:pPr>
        <w:pStyle w:val="ListBullet"/>
      </w:pPr>
      <w:r w:rsidRPr="00354835">
        <w:t>work health and safety (WHS) requirements relating to installing in-vehicl</w:t>
      </w:r>
      <w:r w:rsidRPr="00354835">
        <w:t>e entertainment and convenience systems, including those relating to:</w:t>
      </w:r>
    </w:p>
    <w:p w:rsidR="00000000" w:rsidRPr="00354835" w:rsidP="00354835">
      <w:pPr>
        <w:pStyle w:val="ListBullet2"/>
      </w:pPr>
      <w:r w:rsidRPr="00354835">
        <w:t xml:space="preserve">using specialised tools and equipment </w:t>
      </w:r>
    </w:p>
    <w:p w:rsidR="00000000" w:rsidRPr="00354835" w:rsidP="00354835">
      <w:pPr>
        <w:pStyle w:val="ListBullet2"/>
      </w:pPr>
      <w:r w:rsidRPr="00354835">
        <w:t>selecting and using personal protective equipment (PPE)</w:t>
      </w:r>
    </w:p>
    <w:p w:rsidR="00000000" w:rsidRPr="00354835" w:rsidP="00354835">
      <w:pPr>
        <w:pStyle w:val="ListBullet2"/>
      </w:pPr>
      <w:r w:rsidRPr="00354835">
        <w:t>identifying hazards and controlling risks</w:t>
      </w:r>
    </w:p>
    <w:p w:rsidR="00000000" w:rsidRPr="00354835" w:rsidP="00354835">
      <w:pPr>
        <w:pStyle w:val="ListBullet"/>
      </w:pPr>
      <w:r w:rsidRPr="00354835">
        <w:t>key specialised technologies, tools and equipme</w:t>
      </w:r>
      <w:r w:rsidRPr="00354835">
        <w:t>nt associated with in-vehicle entertainment and convenience systems, including:</w:t>
      </w:r>
    </w:p>
    <w:p w:rsidR="00000000" w:rsidRPr="00354835" w:rsidP="00354835">
      <w:pPr>
        <w:pStyle w:val="ListBullet2"/>
      </w:pPr>
      <w:r w:rsidRPr="00354835">
        <w:t>amplifiers and speakers</w:t>
      </w:r>
    </w:p>
    <w:p w:rsidR="00000000" w:rsidRPr="00354835" w:rsidP="00354835">
      <w:pPr>
        <w:pStyle w:val="ListBullet2"/>
      </w:pPr>
      <w:r w:rsidRPr="00354835">
        <w:t>crimpers</w:t>
      </w:r>
    </w:p>
    <w:p w:rsidR="00000000" w:rsidRPr="00354835" w:rsidP="00354835">
      <w:pPr>
        <w:pStyle w:val="ListBullet2"/>
      </w:pPr>
      <w:r w:rsidRPr="00354835">
        <w:t>digital multimeters</w:t>
      </w:r>
    </w:p>
    <w:p w:rsidR="00000000" w:rsidRPr="00354835" w:rsidP="00354835">
      <w:pPr>
        <w:pStyle w:val="ListBullet2"/>
      </w:pPr>
      <w:r w:rsidRPr="00354835">
        <w:t>soldering irons</w:t>
      </w:r>
    </w:p>
    <w:p w:rsidR="00000000" w:rsidRPr="00354835" w:rsidP="00354835">
      <w:pPr>
        <w:pStyle w:val="ListBullet2"/>
      </w:pPr>
      <w:r w:rsidRPr="00354835">
        <w:t>wire strippers</w:t>
      </w:r>
    </w:p>
    <w:p w:rsidR="00000000" w:rsidRPr="00354835" w:rsidP="00354835">
      <w:pPr>
        <w:pStyle w:val="ListBullet"/>
      </w:pPr>
      <w:r w:rsidRPr="00354835">
        <w:t>system functionality testing procedures and tools used for installing in-vehicle entertain</w:t>
      </w:r>
      <w:r w:rsidRPr="00354835">
        <w:t>ment and convenience systems, including:</w:t>
      </w:r>
    </w:p>
    <w:p w:rsidR="00000000" w:rsidRPr="00354835" w:rsidP="00354835">
      <w:pPr>
        <w:pStyle w:val="ListBullet2"/>
      </w:pPr>
      <w:r w:rsidRPr="00354835">
        <w:t xml:space="preserve">digital multimeter and scan tool </w:t>
      </w:r>
    </w:p>
    <w:p w:rsidR="00000000" w:rsidRPr="00354835" w:rsidP="00354835">
      <w:pPr>
        <w:pStyle w:val="ListBullet2"/>
      </w:pPr>
      <w:r w:rsidRPr="00354835">
        <w:t>electrical equipment testing</w:t>
      </w:r>
    </w:p>
    <w:p w:rsidR="00000000" w:rsidRPr="00354835" w:rsidP="00354835">
      <w:pPr>
        <w:pStyle w:val="ListBullet2"/>
      </w:pPr>
      <w:r w:rsidRPr="00354835">
        <w:t xml:space="preserve">system operations </w:t>
      </w:r>
    </w:p>
    <w:p w:rsidR="00000000" w:rsidRPr="00354835" w:rsidP="00354835">
      <w:pPr>
        <w:pStyle w:val="ListBullet2"/>
      </w:pPr>
      <w:r w:rsidRPr="00354835">
        <w:t>wiring diagrams</w:t>
      </w:r>
    </w:p>
    <w:p w:rsidR="00000000" w:rsidRPr="00354835" w:rsidP="00354835">
      <w:pPr>
        <w:pStyle w:val="ListBullet2"/>
      </w:pPr>
      <w:r w:rsidRPr="00354835">
        <w:t>vehicle continuous and non-continuous monitored systems</w:t>
      </w:r>
    </w:p>
    <w:p w:rsidR="00000000" w:rsidRPr="00354835" w:rsidP="00354835">
      <w:pPr>
        <w:pStyle w:val="ListBullet"/>
      </w:pPr>
      <w:r w:rsidRPr="00354835">
        <w:t>workplace policies and procedures required to install in-vehicle convenience and entertainment systems, including:</w:t>
      </w:r>
    </w:p>
    <w:p w:rsidR="00000000" w:rsidRPr="00354835" w:rsidP="00354835">
      <w:pPr>
        <w:pStyle w:val="ListBullet2"/>
      </w:pPr>
      <w:r w:rsidRPr="00354835">
        <w:t>serviceability of tools and equipment</w:t>
      </w:r>
    </w:p>
    <w:p w:rsidR="00000000" w:rsidRPr="00354835" w:rsidP="00354835">
      <w:pPr>
        <w:pStyle w:val="ListBullet2"/>
      </w:pPr>
      <w:r w:rsidRPr="00354835">
        <w:t>techniques to operate, examine and store specialised technologies, tools and equipment</w:t>
      </w:r>
    </w:p>
    <w:p w:rsidR="00000000" w:rsidRPr="00354835" w:rsidP="00354835">
      <w:pPr>
        <w:pStyle w:val="ListBullet2"/>
      </w:pPr>
      <w:r w:rsidRPr="00354835">
        <w:t>documentation p</w:t>
      </w:r>
      <w:r w:rsidRPr="00354835">
        <w:t xml:space="preserve">rocesses including tagging of faulty equipment </w:t>
      </w:r>
    </w:p>
    <w:p w:rsidR="00000000" w:rsidRPr="00354835" w:rsidP="00354835">
      <w:pPr>
        <w:pStyle w:val="ListBullet2"/>
      </w:pPr>
      <w:r w:rsidRPr="00354835">
        <w:t>safe disposal and recycling procedures for materials</w:t>
      </w:r>
    </w:p>
    <w:p w:rsidR="00000000" w:rsidRPr="00354835" w:rsidP="00354835">
      <w:pPr>
        <w:pStyle w:val="ListBullet"/>
      </w:pPr>
      <w:r>
        <w:t>•</w:t>
      </w:r>
      <w:r>
        <w:tab/>
      </w:r>
      <w:r w:rsidRPr="00354835">
        <w:t>key features of in-vehicle convenience, entertainment and safety systems, including:</w:t>
      </w:r>
    </w:p>
    <w:p w:rsidR="00000000" w:rsidRPr="00354835" w:rsidP="00354835">
      <w:pPr>
        <w:pStyle w:val="ListBullet2"/>
      </w:pPr>
      <w:r w:rsidRPr="00354835">
        <w:t>advanced driver-assistance systems (ADAS)</w:t>
      </w:r>
    </w:p>
    <w:p w:rsidR="00000000" w:rsidRPr="00354835" w:rsidP="00354835">
      <w:pPr>
        <w:pStyle w:val="ListBullet2"/>
      </w:pPr>
      <w:r w:rsidRPr="00354835">
        <w:t>connectivity systems</w:t>
      </w:r>
    </w:p>
    <w:p w:rsidR="00000000" w:rsidRPr="00354835" w:rsidP="00354835">
      <w:pPr>
        <w:pStyle w:val="ListBullet2"/>
      </w:pPr>
      <w:r w:rsidRPr="00354835">
        <w:t>elec</w:t>
      </w:r>
      <w:r w:rsidRPr="00354835">
        <w:t>tronic control units (ECUs) </w:t>
      </w:r>
    </w:p>
    <w:p w:rsidR="00000000" w:rsidRPr="00354835" w:rsidP="00354835">
      <w:pPr>
        <w:pStyle w:val="ListBullet2"/>
      </w:pPr>
      <w:r w:rsidRPr="00354835">
        <w:t>fibre-optic communication systems</w:t>
      </w:r>
    </w:p>
    <w:p w:rsidR="00000000" w:rsidRPr="00354835" w:rsidP="00354835">
      <w:pPr>
        <w:pStyle w:val="ListBullet2"/>
      </w:pPr>
      <w:r w:rsidRPr="00354835">
        <w:t>infotainment systems</w:t>
      </w:r>
    </w:p>
    <w:p w:rsidR="00000000" w:rsidRPr="00354835" w:rsidP="00354835">
      <w:pPr>
        <w:pStyle w:val="ListBullet2"/>
      </w:pPr>
      <w:r w:rsidRPr="00354835">
        <w:t>intelligent transport systems</w:t>
      </w:r>
    </w:p>
    <w:p w:rsidR="00000000" w:rsidRPr="00354835" w:rsidP="00354835">
      <w:pPr>
        <w:pStyle w:val="ListBullet2"/>
      </w:pPr>
      <w:r w:rsidRPr="00354835">
        <w:t>multi-plex systems</w:t>
      </w:r>
    </w:p>
    <w:p w:rsidR="00000000" w:rsidRPr="00354835" w:rsidP="00354835">
      <w:pPr>
        <w:pStyle w:val="ListBullet2"/>
      </w:pPr>
      <w:r w:rsidRPr="00354835">
        <w:t>passenger comfort systems</w:t>
      </w:r>
    </w:p>
    <w:p w:rsidR="00000000" w:rsidRPr="00354835" w:rsidP="00354835">
      <w:pPr>
        <w:pStyle w:val="ListBullet2"/>
      </w:pPr>
      <w:r w:rsidRPr="00354835">
        <w:t>safety restraint systems</w:t>
      </w:r>
    </w:p>
    <w:p w:rsidR="00000000" w:rsidRPr="00354835" w:rsidP="00354835">
      <w:pPr>
        <w:pStyle w:val="ListBullet2"/>
      </w:pPr>
      <w:r w:rsidRPr="00354835">
        <w:t>telematics systems</w:t>
      </w:r>
    </w:p>
    <w:p w:rsidR="00000000" w:rsidRPr="00354835" w:rsidP="00354835">
      <w:pPr>
        <w:pStyle w:val="ListBullet2"/>
      </w:pPr>
      <w:r w:rsidRPr="00354835">
        <w:t>vehicle tracking systems</w:t>
      </w:r>
    </w:p>
    <w:p w:rsidR="00000000" w:rsidRPr="00354835" w:rsidP="00354835">
      <w:pPr>
        <w:pStyle w:val="ListBullet"/>
      </w:pPr>
      <w:r w:rsidRPr="00354835">
        <w:t>key theories an</w:t>
      </w:r>
      <w:r w:rsidRPr="00354835">
        <w:t>d principles of system installation procedures including:</w:t>
      </w:r>
    </w:p>
    <w:p w:rsidR="00000000" w:rsidRPr="00354835" w:rsidP="00354835">
      <w:pPr>
        <w:pStyle w:val="ListBullet2"/>
      </w:pPr>
      <w:r w:rsidRPr="00354835">
        <w:t>Controller Area Network (CAN)-bus</w:t>
      </w:r>
    </w:p>
    <w:p w:rsidR="00000000" w:rsidRPr="00354835" w:rsidP="00354835">
      <w:pPr>
        <w:pStyle w:val="ListBullet2"/>
      </w:pPr>
      <w:r w:rsidRPr="00354835">
        <w:t xml:space="preserve">electrical </w:t>
      </w:r>
    </w:p>
    <w:p w:rsidR="00000000" w:rsidRPr="00354835" w:rsidP="00354835">
      <w:pPr>
        <w:pStyle w:val="ListBullet2"/>
      </w:pPr>
      <w:r w:rsidRPr="00354835">
        <w:t>Local Interconnect Network (LIN) bus</w:t>
      </w:r>
    </w:p>
    <w:p w:rsidR="00000000" w:rsidRPr="00354835" w:rsidP="00354835">
      <w:pPr>
        <w:pStyle w:val="ListBullet2"/>
      </w:pPr>
      <w:r w:rsidRPr="00354835">
        <w:t>OHM’s law</w:t>
      </w:r>
    </w:p>
    <w:p w:rsidR="00000000" w:rsidRPr="00354835" w:rsidP="00354835">
      <w:pPr>
        <w:pStyle w:val="ListBullet2"/>
      </w:pPr>
      <w:r w:rsidRPr="00354835">
        <w:t>vehicle body operations.</w:t>
      </w:r>
    </w:p>
    <w:p w:rsidR="00000000" w:rsidRPr="00354835" w:rsidP="00354835">
      <w:pPr>
        <w:pStyle w:val="AllowPageBreak"/>
      </w:pPr>
    </w:p>
    <w:p w:rsidR="00000000" w:rsidRPr="00354835" w:rsidP="00354835">
      <w:pPr>
        <w:pStyle w:val="Heading1"/>
      </w:pPr>
      <w:bookmarkStart w:id="4" w:name="O_1222685"/>
      <w:bookmarkEnd w:id="4"/>
      <w:r w:rsidRPr="00354835">
        <w:t>Assessment Conditions</w:t>
      </w:r>
    </w:p>
    <w:p w:rsidR="00000000" w:rsidRPr="00354835" w:rsidP="00824A3D">
      <w:pPr>
        <w:pStyle w:val="BodyText"/>
      </w:pPr>
      <w:r w:rsidRPr="00354835">
        <w:t>Competency is to be assessed in the workplace or a simulated environment that accurately reflects performance in a real workplace setting.</w:t>
      </w:r>
    </w:p>
    <w:p w:rsidR="00000000" w:rsidRPr="00354835" w:rsidP="00824A3D">
      <w:pPr>
        <w:pStyle w:val="BodyText"/>
      </w:pPr>
      <w:r w:rsidRPr="00354835">
        <w:t>Assessment must include direct observation of tasks.</w:t>
      </w:r>
    </w:p>
    <w:p w:rsidR="00000000" w:rsidRPr="00354835" w:rsidP="00824A3D">
      <w:pPr>
        <w:pStyle w:val="BodyText"/>
      </w:pPr>
      <w:r w:rsidRPr="00354835">
        <w:t>Where assessment of competency includes third-party evidence, in</w:t>
      </w:r>
      <w:r w:rsidRPr="00354835">
        <w:t>dividuals must provide evidence that links them to the installation of in-vehicle entertainment and convenience systems, e.g., work orders.</w:t>
      </w:r>
    </w:p>
    <w:p w:rsidR="00000000" w:rsidRPr="00354835" w:rsidP="00824A3D">
      <w:pPr>
        <w:pStyle w:val="BodyText"/>
      </w:pPr>
      <w:r w:rsidRPr="00354835">
        <w:t>Assessors must verify performance evidence through questioning on skills and knowledge to ensure correct interpretat</w:t>
      </w:r>
      <w:r w:rsidRPr="00354835">
        <w:t>ion and application.</w:t>
      </w:r>
    </w:p>
    <w:p w:rsidR="00000000" w:rsidRPr="00354835" w:rsidP="00824A3D">
      <w:pPr>
        <w:pStyle w:val="BodyText"/>
      </w:pPr>
      <w:r w:rsidRPr="00354835">
        <w:t>The following resources must be made available:</w:t>
      </w:r>
    </w:p>
    <w:p w:rsidR="00000000" w:rsidRPr="00354835" w:rsidP="00354835">
      <w:pPr>
        <w:pStyle w:val="ListBullet"/>
      </w:pPr>
      <w:r w:rsidRPr="00354835">
        <w:t>workplace instructions, policies and procedures</w:t>
      </w:r>
    </w:p>
    <w:p w:rsidR="00000000" w:rsidRPr="00354835" w:rsidP="00354835">
      <w:pPr>
        <w:pStyle w:val="ListBullet"/>
      </w:pPr>
      <w:r w:rsidRPr="00354835">
        <w:t xml:space="preserve">manufacturer specifications and installation fitting instructions </w:t>
      </w:r>
    </w:p>
    <w:p w:rsidR="00000000" w:rsidRPr="00354835" w:rsidP="00354835">
      <w:pPr>
        <w:pStyle w:val="ListBullet"/>
      </w:pPr>
      <w:r w:rsidRPr="00354835">
        <w:t>two different vehicles requiring the installation of in-vehicle conveni</w:t>
      </w:r>
      <w:r w:rsidRPr="00354835">
        <w:t>ence and entertainment systems</w:t>
      </w:r>
    </w:p>
    <w:p w:rsidR="00000000" w:rsidRPr="00354835" w:rsidP="00354835">
      <w:pPr>
        <w:pStyle w:val="ListBullet"/>
      </w:pPr>
      <w:r w:rsidRPr="00354835">
        <w:t>tools, equipment and materials appropriate for installing in-vehicle convenience and entertainment systems</w:t>
      </w:r>
    </w:p>
    <w:p w:rsidR="00000000" w:rsidRPr="00354835" w:rsidP="00354835">
      <w:pPr>
        <w:pStyle w:val="ListBullet"/>
      </w:pPr>
      <w:r w:rsidRPr="00354835">
        <w:t>PPE required to install in-vehicle convenience and entertainment systems.</w:t>
      </w:r>
    </w:p>
    <w:p w:rsidR="00000000" w:rsidRPr="00354835" w:rsidP="00354835">
      <w:pPr>
        <w:pStyle w:val="BodyText"/>
      </w:pPr>
    </w:p>
    <w:p w:rsidR="00000000" w:rsidRPr="00354835" w:rsidP="00824A3D">
      <w:pPr>
        <w:pStyle w:val="BodyText"/>
      </w:pPr>
      <w:r w:rsidRPr="00354835">
        <w:t>Assessors of this unit must satisfy the req</w:t>
      </w:r>
      <w:r w:rsidRPr="00354835">
        <w:t>uirements for assessors in applicable vocational education and training legislation, frameworks and/or standards.</w:t>
      </w:r>
    </w:p>
    <w:p w:rsidR="00000000" w:rsidRPr="00354835" w:rsidP="00354835">
      <w:pPr>
        <w:pStyle w:val="Heading1"/>
      </w:pPr>
      <w:bookmarkStart w:id="5" w:name="O_1222688"/>
      <w:bookmarkEnd w:id="5"/>
      <w:r w:rsidRPr="00354835">
        <w:t>Links</w:t>
      </w:r>
    </w:p>
    <w:p w:rsidR="00000000" w:rsidRPr="00354835" w:rsidP="00824A3D">
      <w:pPr>
        <w:pStyle w:val="BodyText"/>
      </w:pPr>
      <w:r w:rsidRPr="003548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122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4835" w:rsidP="00354835"/>
    <w:sectPr w:rsidSect="003548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35" w:rsidRPr="00824A3D" w:rsidP="00824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3D" w:rsidP="00354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A3D" w:rsidP="00354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24A3D" w:rsidP="00354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835" w:rsidRPr="00824A3D" w:rsidP="00824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A3D" w:rsidRPr="002D2AF8" w:rsidP="00354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AURETR049 Install in-vehicle entertainment and convenience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24A3D" w:rsidP="00354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0A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6B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66D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835"/>
  </w:style>
  <w:style w:type="character" w:customStyle="1" w:styleId="Heading1Char">
    <w:name w:val="Heading 1 Char"/>
    <w:basedOn w:val="DefaultParagraphFont"/>
    <w:link w:val="Heading1"/>
    <w:rsid w:val="00354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8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835"/>
    <w:rPr>
      <w:b/>
      <w:spacing w:val="0"/>
    </w:rPr>
  </w:style>
  <w:style w:type="paragraph" w:styleId="ListBullet2">
    <w:name w:val="List Bullet 2"/>
    <w:basedOn w:val="List2"/>
    <w:rsid w:val="003548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8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835"/>
    <w:rPr>
      <w:i/>
    </w:rPr>
  </w:style>
  <w:style w:type="paragraph" w:styleId="Caption">
    <w:name w:val="caption"/>
    <w:basedOn w:val="BodyText"/>
    <w:next w:val="Normal"/>
    <w:qFormat/>
    <w:rsid w:val="00354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835"/>
  </w:style>
  <w:style w:type="paragraph" w:styleId="TableofFigures">
    <w:name w:val="table of figures"/>
    <w:basedOn w:val="Normal"/>
    <w:next w:val="Normal"/>
    <w:semiHidden/>
    <w:rsid w:val="00354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8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835"/>
    <w:rPr>
      <w:rFonts w:ascii="Wingdings" w:hAnsi="Wingdings"/>
    </w:rPr>
  </w:style>
  <w:style w:type="paragraph" w:customStyle="1" w:styleId="TableHeading">
    <w:name w:val="Table Heading"/>
    <w:basedOn w:val="HeadingBase"/>
    <w:rsid w:val="00354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835"/>
    <w:rPr>
      <w:color w:val="0033CC"/>
      <w:u w:val="none"/>
    </w:rPr>
  </w:style>
  <w:style w:type="paragraph" w:customStyle="1" w:styleId="BodyTextRight">
    <w:name w:val="Body Text Right"/>
    <w:basedOn w:val="BodyText"/>
    <w:rsid w:val="00354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835"/>
    <w:rPr>
      <w:sz w:val="32"/>
    </w:rPr>
  </w:style>
  <w:style w:type="paragraph" w:customStyle="1" w:styleId="HeadingProcedure">
    <w:name w:val="Heading Procedure"/>
    <w:basedOn w:val="HeadingBase"/>
    <w:next w:val="Normal"/>
    <w:rsid w:val="00354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835"/>
    <w:pPr>
      <w:spacing w:before="60" w:after="60"/>
    </w:pPr>
  </w:style>
  <w:style w:type="paragraph" w:styleId="ListContinue">
    <w:name w:val="List Continue"/>
    <w:basedOn w:val="List"/>
    <w:rsid w:val="00354835"/>
    <w:pPr>
      <w:ind w:firstLine="0"/>
    </w:pPr>
  </w:style>
  <w:style w:type="paragraph" w:customStyle="1" w:styleId="ListNote">
    <w:name w:val="List Note"/>
    <w:basedOn w:val="List"/>
    <w:rsid w:val="00354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835"/>
    <w:rPr>
      <w:rFonts w:ascii="Courier New" w:hAnsi="Courier New"/>
    </w:rPr>
  </w:style>
  <w:style w:type="paragraph" w:customStyle="1" w:styleId="NoteBullet">
    <w:name w:val="Note Bullet"/>
    <w:basedOn w:val="Note"/>
    <w:rsid w:val="00354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835"/>
    <w:rPr>
      <w:b/>
      <w:smallCaps/>
    </w:rPr>
  </w:style>
  <w:style w:type="paragraph" w:customStyle="1" w:styleId="TableListNumber">
    <w:name w:val="Table List Number"/>
    <w:basedOn w:val="ListNumber"/>
    <w:rsid w:val="00354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835"/>
    <w:pPr>
      <w:numPr>
        <w:numId w:val="9"/>
      </w:numPr>
    </w:pPr>
  </w:style>
  <w:style w:type="paragraph" w:customStyle="1" w:styleId="ListAlpha2">
    <w:name w:val="List Alpha 2"/>
    <w:basedOn w:val="List2"/>
    <w:rsid w:val="00354835"/>
    <w:pPr>
      <w:numPr>
        <w:numId w:val="8"/>
      </w:numPr>
    </w:pPr>
  </w:style>
  <w:style w:type="paragraph" w:styleId="List2">
    <w:name w:val="List 2"/>
    <w:basedOn w:val="BodyText"/>
    <w:rsid w:val="00354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835"/>
    <w:pPr>
      <w:numPr>
        <w:numId w:val="4"/>
      </w:numPr>
    </w:pPr>
  </w:style>
  <w:style w:type="paragraph" w:styleId="ListContinue2">
    <w:name w:val="List Continue 2"/>
    <w:basedOn w:val="List2"/>
    <w:rsid w:val="00354835"/>
    <w:pPr>
      <w:ind w:firstLine="0"/>
    </w:pPr>
  </w:style>
  <w:style w:type="paragraph" w:styleId="ListContinue3">
    <w:name w:val="List Continue 3"/>
    <w:basedOn w:val="List3"/>
    <w:rsid w:val="00354835"/>
    <w:pPr>
      <w:ind w:left="1021" w:firstLine="0"/>
    </w:pPr>
  </w:style>
  <w:style w:type="paragraph" w:styleId="ListContinue4">
    <w:name w:val="List Continue 4"/>
    <w:basedOn w:val="List4"/>
    <w:rsid w:val="00354835"/>
    <w:pPr>
      <w:ind w:firstLine="0"/>
    </w:pPr>
  </w:style>
  <w:style w:type="paragraph" w:styleId="ListContinue5">
    <w:name w:val="List Continue 5"/>
    <w:basedOn w:val="List5"/>
    <w:rsid w:val="00354835"/>
    <w:pPr>
      <w:ind w:firstLine="0"/>
    </w:pPr>
  </w:style>
  <w:style w:type="paragraph" w:styleId="ListNumber3">
    <w:name w:val="List Number 3"/>
    <w:basedOn w:val="List3"/>
    <w:rsid w:val="00354835"/>
    <w:pPr>
      <w:numPr>
        <w:numId w:val="5"/>
      </w:numPr>
    </w:pPr>
  </w:style>
  <w:style w:type="paragraph" w:styleId="ListNumber4">
    <w:name w:val="List Number 4"/>
    <w:basedOn w:val="List4"/>
    <w:rsid w:val="00354835"/>
    <w:pPr>
      <w:numPr>
        <w:numId w:val="6"/>
      </w:numPr>
    </w:pPr>
  </w:style>
  <w:style w:type="paragraph" w:styleId="ListNumber5">
    <w:name w:val="List Number 5"/>
    <w:basedOn w:val="List5"/>
    <w:rsid w:val="00354835"/>
    <w:pPr>
      <w:numPr>
        <w:numId w:val="7"/>
      </w:numPr>
    </w:pPr>
  </w:style>
  <w:style w:type="paragraph" w:styleId="BlockText">
    <w:name w:val="Block Text"/>
    <w:basedOn w:val="Normal"/>
    <w:rsid w:val="00354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835"/>
    <w:rPr>
      <w:sz w:val="16"/>
      <w:vertAlign w:val="superscript"/>
    </w:rPr>
  </w:style>
  <w:style w:type="character" w:customStyle="1" w:styleId="Symbols">
    <w:name w:val="Symbols"/>
    <w:basedOn w:val="DefaultParagraphFont"/>
    <w:rsid w:val="00354835"/>
    <w:rPr>
      <w:rFonts w:ascii="Symbol" w:hAnsi="Symbol"/>
    </w:rPr>
  </w:style>
  <w:style w:type="character" w:customStyle="1" w:styleId="MenuOptions">
    <w:name w:val="Menu Options"/>
    <w:basedOn w:val="DefaultParagraphFont"/>
    <w:rsid w:val="00354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835"/>
    <w:rPr>
      <w:b/>
    </w:rPr>
  </w:style>
  <w:style w:type="character" w:customStyle="1" w:styleId="Underlined">
    <w:name w:val="Underlined"/>
    <w:basedOn w:val="DefaultParagraphFont"/>
    <w:rsid w:val="00354835"/>
    <w:rPr>
      <w:u w:val="single"/>
    </w:rPr>
  </w:style>
  <w:style w:type="paragraph" w:customStyle="1" w:styleId="TableBodyTextRight">
    <w:name w:val="Table Body Text Right"/>
    <w:basedOn w:val="TableBodyText"/>
    <w:rsid w:val="00354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835"/>
    <w:rPr>
      <w:sz w:val="18"/>
    </w:rPr>
  </w:style>
  <w:style w:type="paragraph" w:customStyle="1" w:styleId="BodySmallRight">
    <w:name w:val="Body Small Right"/>
    <w:basedOn w:val="BodyTextRight"/>
    <w:rsid w:val="00354835"/>
    <w:rPr>
      <w:sz w:val="18"/>
      <w:szCs w:val="18"/>
    </w:rPr>
  </w:style>
  <w:style w:type="paragraph" w:customStyle="1" w:styleId="MarginEdition">
    <w:name w:val="Margin Edition"/>
    <w:basedOn w:val="MarginNote"/>
    <w:rsid w:val="00354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835"/>
    <w:rPr>
      <w:sz w:val="2"/>
      <w:szCs w:val="2"/>
    </w:rPr>
  </w:style>
  <w:style w:type="character" w:customStyle="1" w:styleId="Small">
    <w:name w:val="Small"/>
    <w:basedOn w:val="DefaultParagraphFont"/>
    <w:rsid w:val="00354835"/>
    <w:rPr>
      <w:sz w:val="16"/>
    </w:rPr>
  </w:style>
  <w:style w:type="paragraph" w:customStyle="1" w:styleId="WideTable">
    <w:name w:val="Wide Table"/>
    <w:basedOn w:val="Normal"/>
    <w:rsid w:val="00354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835"/>
  </w:style>
  <w:style w:type="paragraph" w:styleId="Quote">
    <w:name w:val="Quote"/>
    <w:basedOn w:val="Heading1"/>
    <w:link w:val="QuoteChar"/>
    <w:qFormat/>
    <w:rsid w:val="00354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835"/>
    <w:pPr>
      <w:pageBreakBefore/>
    </w:pPr>
  </w:style>
  <w:style w:type="paragraph" w:customStyle="1" w:styleId="Border">
    <w:name w:val="Border"/>
    <w:basedOn w:val="Normal"/>
    <w:qFormat/>
    <w:rsid w:val="00354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835"/>
    <w:rPr>
      <w:u w:val="single"/>
    </w:rPr>
  </w:style>
  <w:style w:type="character" w:customStyle="1" w:styleId="BoldandItalics">
    <w:name w:val="Bold and Italics"/>
    <w:qFormat/>
    <w:rsid w:val="00354835"/>
    <w:rPr>
      <w:b/>
      <w:i/>
      <w:u w:val="none"/>
    </w:rPr>
  </w:style>
  <w:style w:type="paragraph" w:styleId="BalloonText">
    <w:name w:val="Balloon Text"/>
    <w:basedOn w:val="Normal"/>
    <w:link w:val="BalloonTextChar"/>
    <w:rsid w:val="00354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835"/>
    <w:pPr>
      <w:spacing w:before="0" w:after="0"/>
    </w:pPr>
  </w:style>
  <w:style w:type="paragraph" w:customStyle="1" w:styleId="BodyTextBold">
    <w:name w:val="Body Text Bold"/>
    <w:basedOn w:val="BodyText"/>
    <w:qFormat/>
    <w:rsid w:val="00354835"/>
    <w:rPr>
      <w:b/>
    </w:rPr>
  </w:style>
  <w:style w:type="character" w:styleId="Hyperlink">
    <w:name w:val="Hyperlink"/>
    <w:basedOn w:val="DefaultParagraphFont"/>
    <w:uiPriority w:val="99"/>
    <w:unhideWhenUsed/>
    <w:rsid w:val="00824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3570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AURETR049 Install in-vehicle entertainment and convenience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