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B4F" w:rsidP="00416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AURETR047 Recharge vehicle batteries</w:t>
      </w:r>
      <w:r>
        <w:fldChar w:fldCharType="end"/>
      </w:r>
    </w:p>
    <w:p w:rsidR="00416B4F" w:rsidP="00416B4F">
      <w:pPr>
        <w:pStyle w:val="Version"/>
        <w:sectPr w:rsidSect="007C2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148" w:rsidP="007C2148">
      <w:pPr>
        <w:pStyle w:val="SuperHeading"/>
      </w:pPr>
      <w:r w:rsidRPr="007C2148">
        <w:t>Assessment Requirements for AURETR047 Recharge vehicle batteries</w:t>
      </w:r>
    </w:p>
    <w:p w:rsidR="00000000" w:rsidRPr="007C2148" w:rsidP="007C2148">
      <w:pPr>
        <w:pStyle w:val="Heading1"/>
      </w:pPr>
      <w:bookmarkStart w:id="1" w:name="O_659986"/>
      <w:bookmarkEnd w:id="1"/>
      <w:r w:rsidRPr="007C214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6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48" w:rsidP="007C2148">
            <w:pPr>
              <w:pStyle w:val="BodyText"/>
            </w:pPr>
            <w:r w:rsidRPr="007C214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48">
            <w:pPr>
              <w:pStyle w:val="BodyText"/>
              <w:rPr>
                <w:lang w:val="en-NZ"/>
              </w:rPr>
            </w:pPr>
            <w:r w:rsidRPr="007C2148">
              <w:rPr>
                <w:rStyle w:val="SpecialBold"/>
              </w:rPr>
              <w:t>Comment</w:t>
            </w:r>
          </w:p>
        </w:tc>
      </w:tr>
      <w:tr w:rsidTr="00416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48">
            <w:pPr>
              <w:pStyle w:val="BodyText"/>
              <w:rPr>
                <w:lang w:val="en-NZ"/>
              </w:rPr>
            </w:pPr>
            <w:r w:rsidRPr="007C2148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48" w:rsidP="007C2148">
            <w:pPr>
              <w:pStyle w:val="BodyText"/>
            </w:pPr>
            <w:r w:rsidRPr="007C2148">
              <w:t>New unit of competency</w:t>
            </w:r>
          </w:p>
        </w:tc>
      </w:tr>
    </w:tbl>
    <w:p w:rsidR="00000000" w:rsidRPr="007C2148" w:rsidP="007C2148">
      <w:pPr>
        <w:pStyle w:val="BodyText"/>
      </w:pPr>
    </w:p>
    <w:p w:rsidR="00000000" w:rsidRPr="007C2148" w:rsidP="007C2148">
      <w:pPr>
        <w:pStyle w:val="AllowPageBreak"/>
      </w:pPr>
    </w:p>
    <w:p w:rsidR="00000000" w:rsidRPr="007C2148" w:rsidP="007C2148">
      <w:pPr>
        <w:pStyle w:val="Heading1"/>
      </w:pPr>
      <w:bookmarkStart w:id="2" w:name="O_659989"/>
      <w:bookmarkEnd w:id="2"/>
      <w:r w:rsidRPr="007C2148">
        <w:t>Performance Evidence</w:t>
      </w:r>
    </w:p>
    <w:p w:rsidR="00000000" w:rsidRPr="007C2148" w:rsidP="00416B4F">
      <w:pPr>
        <w:pStyle w:val="BodyText"/>
      </w:pPr>
      <w:r w:rsidRPr="007C214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C2148" w:rsidP="007C2148">
      <w:pPr>
        <w:pStyle w:val="ListBullet"/>
      </w:pPr>
      <w:r w:rsidRPr="007C2148">
        <w:t>correctly recharge at least two a</w:t>
      </w:r>
      <w:r w:rsidRPr="007C2148">
        <w:t>utomotive batteries with different cold-cranking amp (CCA) ratings.</w:t>
      </w:r>
    </w:p>
    <w:p w:rsidR="00000000" w:rsidRPr="007C2148" w:rsidP="007C2148">
      <w:pPr>
        <w:pStyle w:val="AllowPageBreak"/>
      </w:pPr>
    </w:p>
    <w:p w:rsidR="00000000" w:rsidRPr="007C2148" w:rsidP="007C2148">
      <w:pPr>
        <w:pStyle w:val="Heading1"/>
      </w:pPr>
      <w:bookmarkStart w:id="3" w:name="O_659988"/>
      <w:bookmarkEnd w:id="3"/>
      <w:r w:rsidRPr="007C2148">
        <w:t>Knowledge Evidence</w:t>
      </w:r>
    </w:p>
    <w:p w:rsidR="00000000" w:rsidRPr="007C2148" w:rsidP="00416B4F">
      <w:pPr>
        <w:pStyle w:val="BodyText"/>
      </w:pPr>
      <w:r w:rsidRPr="007C2148">
        <w:t>Individuals must be able to demonstrate knowledge of:</w:t>
      </w:r>
    </w:p>
    <w:p w:rsidR="00000000" w:rsidRPr="007C2148" w:rsidP="007C2148">
      <w:pPr>
        <w:pStyle w:val="ListBullet"/>
      </w:pPr>
      <w:r w:rsidRPr="007C2148">
        <w:t xml:space="preserve">key aspects of work health and safety (WHS), occupational health and safety (OHS) </w:t>
      </w:r>
      <w:r w:rsidRPr="007C2148">
        <w:t>and environmental requirements, including:</w:t>
      </w:r>
    </w:p>
    <w:p w:rsidR="00000000" w:rsidRPr="007C2148" w:rsidP="007C2148">
      <w:pPr>
        <w:pStyle w:val="ListBullet2"/>
      </w:pPr>
      <w:r w:rsidRPr="007C2148">
        <w:t>use of personal protective equipment, including safety glasses, ear protection and safety footwear</w:t>
      </w:r>
    </w:p>
    <w:p w:rsidR="00000000" w:rsidRPr="007C2148" w:rsidP="007C2148">
      <w:pPr>
        <w:pStyle w:val="ListBullet2"/>
      </w:pPr>
      <w:r w:rsidRPr="007C2148">
        <w:t>dangers of working with battery testing and charging equipment</w:t>
      </w:r>
    </w:p>
    <w:p w:rsidR="00000000" w:rsidRPr="007C2148" w:rsidP="007C2148">
      <w:pPr>
        <w:pStyle w:val="ListBullet2"/>
      </w:pPr>
      <w:r w:rsidRPr="007C2148">
        <w:t>safety data sheets (SDS) and procedures for handli</w:t>
      </w:r>
      <w:r w:rsidRPr="007C2148">
        <w:t>ng, storing and disposing of automotive batteries and battery fluid</w:t>
      </w:r>
    </w:p>
    <w:p w:rsidR="00000000" w:rsidRPr="007C2148" w:rsidP="007C2148">
      <w:pPr>
        <w:pStyle w:val="ListBullet"/>
      </w:pPr>
      <w:r w:rsidRPr="007C2148">
        <w:t>battery inspection and testing methods, including:</w:t>
      </w:r>
    </w:p>
    <w:p w:rsidR="00000000" w:rsidRPr="007C2148" w:rsidP="007C2148">
      <w:pPr>
        <w:pStyle w:val="ListBullet2"/>
      </w:pPr>
      <w:r w:rsidRPr="007C2148">
        <w:t>visual checks</w:t>
      </w:r>
    </w:p>
    <w:p w:rsidR="00000000" w:rsidRPr="007C2148" w:rsidP="007C2148">
      <w:pPr>
        <w:pStyle w:val="ListBullet2"/>
      </w:pPr>
      <w:r w:rsidRPr="007C2148">
        <w:t>hydrometers</w:t>
      </w:r>
    </w:p>
    <w:p w:rsidR="00000000" w:rsidRPr="007C2148" w:rsidP="007C2148">
      <w:pPr>
        <w:pStyle w:val="ListBullet2"/>
      </w:pPr>
      <w:r w:rsidRPr="007C2148">
        <w:t>high-rate discharge testers</w:t>
      </w:r>
    </w:p>
    <w:p w:rsidR="00000000" w:rsidRPr="007C2148" w:rsidP="007C2148">
      <w:pPr>
        <w:pStyle w:val="ListBullet2"/>
      </w:pPr>
      <w:r w:rsidRPr="007C2148">
        <w:t>resting battery voltage</w:t>
      </w:r>
    </w:p>
    <w:p w:rsidR="00000000" w:rsidRPr="007C2148" w:rsidP="007C2148">
      <w:pPr>
        <w:pStyle w:val="ListBullet"/>
      </w:pPr>
      <w:r w:rsidRPr="007C2148">
        <w:t>battery charging procedures, including:</w:t>
      </w:r>
    </w:p>
    <w:p w:rsidR="00000000" w:rsidRPr="007C2148" w:rsidP="007C2148">
      <w:pPr>
        <w:pStyle w:val="ListBullet2"/>
      </w:pPr>
      <w:r w:rsidRPr="007C2148">
        <w:t>methods for det</w:t>
      </w:r>
      <w:r w:rsidRPr="007C2148">
        <w:t>ermining appropriate charging rate, including reserve capacity (RC) and CCA methods</w:t>
      </w:r>
    </w:p>
    <w:p w:rsidR="00000000" w:rsidRPr="007C2148" w:rsidP="007C2148">
      <w:pPr>
        <w:pStyle w:val="ListBullet2"/>
      </w:pPr>
      <w:r w:rsidRPr="007C2148">
        <w:t>types, application and operating procedures for automotive battery chargers</w:t>
      </w:r>
    </w:p>
    <w:p w:rsidR="00000000" w:rsidRPr="007C2148" w:rsidP="007C2148">
      <w:pPr>
        <w:pStyle w:val="ListBullet"/>
      </w:pPr>
      <w:r w:rsidRPr="007C2148">
        <w:t>work area clean-up and maintenance requirements.</w:t>
      </w:r>
    </w:p>
    <w:p w:rsidR="00000000" w:rsidRPr="007C2148" w:rsidP="007C2148">
      <w:pPr>
        <w:pStyle w:val="AllowPageBreak"/>
      </w:pPr>
    </w:p>
    <w:p w:rsidR="00000000" w:rsidRPr="007C2148" w:rsidP="007C2148">
      <w:pPr>
        <w:pStyle w:val="Heading1"/>
      </w:pPr>
      <w:bookmarkStart w:id="4" w:name="O_659987"/>
      <w:bookmarkEnd w:id="4"/>
      <w:r w:rsidRPr="007C2148">
        <w:t>Assessment Conditions</w:t>
      </w:r>
    </w:p>
    <w:p w:rsidR="00000000" w:rsidRPr="007C2148" w:rsidP="00416B4F">
      <w:pPr>
        <w:pStyle w:val="BodyText"/>
      </w:pPr>
      <w:r w:rsidRPr="007C2148">
        <w:t>Assessors must satisfy SNR/AQTF assessor requirements.</w:t>
      </w:r>
    </w:p>
    <w:p w:rsidR="00000000" w:rsidRPr="007C2148" w:rsidP="00416B4F">
      <w:pPr>
        <w:pStyle w:val="BodyText"/>
      </w:pPr>
      <w:r w:rsidRPr="007C2148">
        <w:t>Competency is to be assessed in the workplace or a simulated environment that accurately reflects performance in a real workplace setting.</w:t>
      </w:r>
    </w:p>
    <w:p w:rsidR="00000000" w:rsidRPr="007C2148" w:rsidP="00416B4F">
      <w:pPr>
        <w:pStyle w:val="BodyText"/>
      </w:pPr>
      <w:r w:rsidRPr="007C2148">
        <w:t xml:space="preserve">Where assessment of competency includes third-party evidence, </w:t>
      </w:r>
      <w:r w:rsidRPr="007C2148">
        <w:t>individuals must provide evidence that links them to the vehicles where they have recharged batteries, e.g. repair orders.</w:t>
      </w:r>
    </w:p>
    <w:p w:rsidR="00000000" w:rsidRPr="007C2148" w:rsidP="00416B4F">
      <w:pPr>
        <w:pStyle w:val="BodyText"/>
      </w:pPr>
      <w:r w:rsidRPr="007C2148">
        <w:t>Assessors must verify performance evidence through questioning on skills and knowledge to ensure correct interpretation and applicati</w:t>
      </w:r>
      <w:r w:rsidRPr="007C2148">
        <w:t>on.</w:t>
      </w:r>
    </w:p>
    <w:p w:rsidR="00000000" w:rsidRPr="007C2148" w:rsidP="00416B4F">
      <w:pPr>
        <w:pStyle w:val="BodyText"/>
      </w:pPr>
      <w:r w:rsidRPr="007C2148">
        <w:t>The following resources must be made available:</w:t>
      </w:r>
    </w:p>
    <w:p w:rsidR="00000000" w:rsidRPr="007C2148" w:rsidP="007C2148">
      <w:pPr>
        <w:pStyle w:val="ListBullet"/>
      </w:pPr>
      <w:r w:rsidRPr="007C2148">
        <w:t>automotive workplace or simulated workplace</w:t>
      </w:r>
    </w:p>
    <w:p w:rsidR="00000000" w:rsidRPr="007C2148" w:rsidP="007C2148">
      <w:pPr>
        <w:pStyle w:val="ListBullet"/>
      </w:pPr>
      <w:r w:rsidRPr="007C2148">
        <w:t>personal protective equipment appropriate to the workplace</w:t>
      </w:r>
    </w:p>
    <w:p w:rsidR="00000000" w:rsidRPr="007C2148" w:rsidP="007C2148">
      <w:pPr>
        <w:pStyle w:val="ListBullet"/>
      </w:pPr>
      <w:r w:rsidRPr="007C2148">
        <w:t>two lead-acid automotive batteries with different CCA ratings</w:t>
      </w:r>
    </w:p>
    <w:p w:rsidR="00000000" w:rsidRPr="007C2148" w:rsidP="007C2148">
      <w:pPr>
        <w:pStyle w:val="ListBullet"/>
      </w:pPr>
      <w:r w:rsidRPr="007C2148">
        <w:t>battery testing equipment, including h</w:t>
      </w:r>
      <w:r w:rsidRPr="007C2148">
        <w:t>ydrometer and high-rate discharge tester</w:t>
      </w:r>
    </w:p>
    <w:p w:rsidR="00000000" w:rsidRPr="007C2148" w:rsidP="007C2148">
      <w:pPr>
        <w:pStyle w:val="ListBullet"/>
      </w:pPr>
      <w:r w:rsidRPr="007C2148">
        <w:t>battery charger</w:t>
      </w:r>
    </w:p>
    <w:p w:rsidR="00000000" w:rsidRPr="007C2148" w:rsidP="007C2148">
      <w:pPr>
        <w:pStyle w:val="ListBullet"/>
      </w:pPr>
      <w:r w:rsidRPr="007C2148">
        <w:t>automotive hand tools.</w:t>
      </w:r>
    </w:p>
    <w:p w:rsidR="00000000" w:rsidRPr="007C2148" w:rsidP="007C2148">
      <w:pPr>
        <w:pStyle w:val="AllowPageBreak"/>
      </w:pPr>
    </w:p>
    <w:p w:rsidR="00000000" w:rsidRPr="007C2148" w:rsidP="007C2148">
      <w:pPr>
        <w:pStyle w:val="Heading1"/>
      </w:pPr>
      <w:bookmarkStart w:id="5" w:name="O_659985"/>
      <w:bookmarkEnd w:id="5"/>
      <w:r w:rsidRPr="007C2148">
        <w:t>Links</w:t>
      </w:r>
    </w:p>
    <w:p w:rsidR="00000000" w:rsidRPr="007C2148" w:rsidP="00416B4F">
      <w:pPr>
        <w:pStyle w:val="BodyText"/>
      </w:pPr>
      <w:r w:rsidRPr="007C21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75D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C2148" w:rsidP="00416B4F">
      <w:pPr>
        <w:pStyle w:val="BodyText"/>
      </w:pPr>
      <w:r w:rsidRPr="007C21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75D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C2148" w:rsidP="007C2148"/>
    <w:sectPr w:rsidSect="007C21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48" w:rsidRPr="00416B4F" w:rsidP="00416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4F" w:rsidP="007C2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B4F" w:rsidP="007C2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6B4F" w:rsidP="007C2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148" w:rsidRPr="00416B4F" w:rsidP="00416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4F" w:rsidRPr="002D2AF8" w:rsidP="007C2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AURETR047 Recharge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16B4F" w:rsidP="007C2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500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AF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823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148"/>
  </w:style>
  <w:style w:type="character" w:customStyle="1" w:styleId="Heading1Char">
    <w:name w:val="Heading 1 Char"/>
    <w:basedOn w:val="DefaultParagraphFont"/>
    <w:link w:val="Heading1"/>
    <w:rsid w:val="007C2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1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148"/>
    <w:rPr>
      <w:b/>
      <w:spacing w:val="0"/>
    </w:rPr>
  </w:style>
  <w:style w:type="paragraph" w:styleId="ListBullet2">
    <w:name w:val="List Bullet 2"/>
    <w:basedOn w:val="List2"/>
    <w:rsid w:val="007C21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2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1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148"/>
    <w:rPr>
      <w:i/>
    </w:rPr>
  </w:style>
  <w:style w:type="paragraph" w:styleId="Caption">
    <w:name w:val="caption"/>
    <w:basedOn w:val="BodyText"/>
    <w:next w:val="Normal"/>
    <w:qFormat/>
    <w:rsid w:val="007C2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148"/>
  </w:style>
  <w:style w:type="paragraph" w:styleId="TableofFigures">
    <w:name w:val="table of figures"/>
    <w:basedOn w:val="Normal"/>
    <w:next w:val="Normal"/>
    <w:semiHidden/>
    <w:rsid w:val="007C2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148"/>
    <w:pPr>
      <w:numPr>
        <w:numId w:val="11"/>
      </w:numPr>
    </w:pPr>
  </w:style>
  <w:style w:type="character" w:customStyle="1" w:styleId="WingdingSymbols">
    <w:name w:val="Wingding Symbols"/>
    <w:rsid w:val="007C2148"/>
    <w:rPr>
      <w:rFonts w:ascii="Wingdings" w:hAnsi="Wingdings"/>
    </w:rPr>
  </w:style>
  <w:style w:type="paragraph" w:customStyle="1" w:styleId="TableHeading">
    <w:name w:val="Table Heading"/>
    <w:basedOn w:val="HeadingBase"/>
    <w:rsid w:val="007C2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148"/>
    <w:rPr>
      <w:color w:val="0033CC"/>
      <w:u w:val="none"/>
    </w:rPr>
  </w:style>
  <w:style w:type="paragraph" w:customStyle="1" w:styleId="BodyTextRight">
    <w:name w:val="Body Text Right"/>
    <w:basedOn w:val="BodyText"/>
    <w:rsid w:val="007C2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1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148"/>
    <w:rPr>
      <w:sz w:val="32"/>
    </w:rPr>
  </w:style>
  <w:style w:type="paragraph" w:customStyle="1" w:styleId="HeadingProcedure">
    <w:name w:val="Heading Procedure"/>
    <w:basedOn w:val="HeadingBase"/>
    <w:next w:val="Normal"/>
    <w:rsid w:val="007C2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148"/>
    <w:pPr>
      <w:spacing w:before="60" w:after="60"/>
    </w:pPr>
  </w:style>
  <w:style w:type="paragraph" w:styleId="ListContinue">
    <w:name w:val="List Continue"/>
    <w:basedOn w:val="List"/>
    <w:rsid w:val="007C2148"/>
    <w:pPr>
      <w:ind w:firstLine="0"/>
    </w:pPr>
  </w:style>
  <w:style w:type="paragraph" w:customStyle="1" w:styleId="ListNote">
    <w:name w:val="List Note"/>
    <w:basedOn w:val="List"/>
    <w:rsid w:val="007C2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148"/>
    <w:rPr>
      <w:rFonts w:ascii="Courier New" w:hAnsi="Courier New"/>
    </w:rPr>
  </w:style>
  <w:style w:type="paragraph" w:customStyle="1" w:styleId="NoteBullet">
    <w:name w:val="Note Bullet"/>
    <w:basedOn w:val="Note"/>
    <w:rsid w:val="007C2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1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2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148"/>
    <w:rPr>
      <w:b/>
      <w:smallCaps/>
    </w:rPr>
  </w:style>
  <w:style w:type="paragraph" w:customStyle="1" w:styleId="TableListNumber">
    <w:name w:val="Table List Number"/>
    <w:basedOn w:val="ListNumber"/>
    <w:rsid w:val="007C2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148"/>
    <w:pPr>
      <w:numPr>
        <w:numId w:val="9"/>
      </w:numPr>
    </w:pPr>
  </w:style>
  <w:style w:type="paragraph" w:customStyle="1" w:styleId="ListAlpha2">
    <w:name w:val="List Alpha 2"/>
    <w:basedOn w:val="List2"/>
    <w:rsid w:val="007C2148"/>
    <w:pPr>
      <w:numPr>
        <w:numId w:val="8"/>
      </w:numPr>
    </w:pPr>
  </w:style>
  <w:style w:type="paragraph" w:styleId="List2">
    <w:name w:val="List 2"/>
    <w:basedOn w:val="BodyText"/>
    <w:rsid w:val="007C2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1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1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148"/>
    <w:pPr>
      <w:numPr>
        <w:numId w:val="4"/>
      </w:numPr>
    </w:pPr>
  </w:style>
  <w:style w:type="paragraph" w:styleId="ListContinue2">
    <w:name w:val="List Continue 2"/>
    <w:basedOn w:val="List2"/>
    <w:rsid w:val="007C2148"/>
    <w:pPr>
      <w:ind w:firstLine="0"/>
    </w:pPr>
  </w:style>
  <w:style w:type="paragraph" w:styleId="ListContinue3">
    <w:name w:val="List Continue 3"/>
    <w:basedOn w:val="List3"/>
    <w:rsid w:val="007C2148"/>
    <w:pPr>
      <w:ind w:left="1021" w:firstLine="0"/>
    </w:pPr>
  </w:style>
  <w:style w:type="paragraph" w:styleId="ListContinue4">
    <w:name w:val="List Continue 4"/>
    <w:basedOn w:val="List4"/>
    <w:rsid w:val="007C2148"/>
    <w:pPr>
      <w:ind w:firstLine="0"/>
    </w:pPr>
  </w:style>
  <w:style w:type="paragraph" w:styleId="ListContinue5">
    <w:name w:val="List Continue 5"/>
    <w:basedOn w:val="List5"/>
    <w:rsid w:val="007C2148"/>
    <w:pPr>
      <w:ind w:firstLine="0"/>
    </w:pPr>
  </w:style>
  <w:style w:type="paragraph" w:styleId="ListNumber3">
    <w:name w:val="List Number 3"/>
    <w:basedOn w:val="List3"/>
    <w:rsid w:val="007C2148"/>
    <w:pPr>
      <w:numPr>
        <w:numId w:val="5"/>
      </w:numPr>
    </w:pPr>
  </w:style>
  <w:style w:type="paragraph" w:styleId="ListNumber4">
    <w:name w:val="List Number 4"/>
    <w:basedOn w:val="List4"/>
    <w:rsid w:val="007C2148"/>
    <w:pPr>
      <w:numPr>
        <w:numId w:val="6"/>
      </w:numPr>
    </w:pPr>
  </w:style>
  <w:style w:type="paragraph" w:styleId="ListNumber5">
    <w:name w:val="List Number 5"/>
    <w:basedOn w:val="List5"/>
    <w:rsid w:val="007C2148"/>
    <w:pPr>
      <w:numPr>
        <w:numId w:val="7"/>
      </w:numPr>
    </w:pPr>
  </w:style>
  <w:style w:type="paragraph" w:styleId="BlockText">
    <w:name w:val="Block Text"/>
    <w:basedOn w:val="Normal"/>
    <w:rsid w:val="007C2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148"/>
    <w:rPr>
      <w:sz w:val="16"/>
      <w:vertAlign w:val="superscript"/>
    </w:rPr>
  </w:style>
  <w:style w:type="character" w:customStyle="1" w:styleId="Symbols">
    <w:name w:val="Symbols"/>
    <w:basedOn w:val="DefaultParagraphFont"/>
    <w:rsid w:val="007C2148"/>
    <w:rPr>
      <w:rFonts w:ascii="Symbol" w:hAnsi="Symbol"/>
    </w:rPr>
  </w:style>
  <w:style w:type="character" w:customStyle="1" w:styleId="MenuOptions">
    <w:name w:val="Menu Options"/>
    <w:basedOn w:val="DefaultParagraphFont"/>
    <w:rsid w:val="007C2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148"/>
    <w:rPr>
      <w:b/>
    </w:rPr>
  </w:style>
  <w:style w:type="character" w:customStyle="1" w:styleId="Underlined">
    <w:name w:val="Underlined"/>
    <w:basedOn w:val="DefaultParagraphFont"/>
    <w:rsid w:val="007C2148"/>
    <w:rPr>
      <w:u w:val="single"/>
    </w:rPr>
  </w:style>
  <w:style w:type="paragraph" w:customStyle="1" w:styleId="TableBodyTextRight">
    <w:name w:val="Table Body Text Right"/>
    <w:basedOn w:val="TableBodyText"/>
    <w:rsid w:val="007C2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148"/>
    <w:rPr>
      <w:sz w:val="18"/>
    </w:rPr>
  </w:style>
  <w:style w:type="paragraph" w:customStyle="1" w:styleId="BodySmallRight">
    <w:name w:val="Body Small Right"/>
    <w:basedOn w:val="BodyTextRight"/>
    <w:rsid w:val="007C2148"/>
    <w:rPr>
      <w:sz w:val="18"/>
      <w:szCs w:val="18"/>
    </w:rPr>
  </w:style>
  <w:style w:type="paragraph" w:customStyle="1" w:styleId="MarginEdition">
    <w:name w:val="Margin Edition"/>
    <w:basedOn w:val="MarginNote"/>
    <w:rsid w:val="007C2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148"/>
    <w:rPr>
      <w:sz w:val="2"/>
      <w:szCs w:val="2"/>
    </w:rPr>
  </w:style>
  <w:style w:type="character" w:customStyle="1" w:styleId="Small">
    <w:name w:val="Small"/>
    <w:basedOn w:val="DefaultParagraphFont"/>
    <w:rsid w:val="007C2148"/>
    <w:rPr>
      <w:sz w:val="16"/>
    </w:rPr>
  </w:style>
  <w:style w:type="paragraph" w:customStyle="1" w:styleId="WideTable">
    <w:name w:val="Wide Table"/>
    <w:basedOn w:val="Normal"/>
    <w:rsid w:val="007C2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148"/>
  </w:style>
  <w:style w:type="paragraph" w:styleId="Quote">
    <w:name w:val="Quote"/>
    <w:basedOn w:val="Heading1"/>
    <w:link w:val="QuoteChar"/>
    <w:qFormat/>
    <w:rsid w:val="007C2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148"/>
    <w:pPr>
      <w:pageBreakBefore/>
    </w:pPr>
  </w:style>
  <w:style w:type="paragraph" w:customStyle="1" w:styleId="Border">
    <w:name w:val="Border"/>
    <w:basedOn w:val="Normal"/>
    <w:qFormat/>
    <w:rsid w:val="007C2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148"/>
    <w:rPr>
      <w:u w:val="single"/>
    </w:rPr>
  </w:style>
  <w:style w:type="character" w:customStyle="1" w:styleId="BoldandItalics">
    <w:name w:val="Bold and Italics"/>
    <w:qFormat/>
    <w:rsid w:val="007C2148"/>
    <w:rPr>
      <w:b/>
      <w:i/>
      <w:u w:val="none"/>
    </w:rPr>
  </w:style>
  <w:style w:type="paragraph" w:styleId="BalloonText">
    <w:name w:val="Balloon Text"/>
    <w:basedOn w:val="Normal"/>
    <w:link w:val="BalloonTextChar"/>
    <w:rsid w:val="007C2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1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6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2562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AURETR047 Recharge vehicle batteries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2018-12-07T01:12:00Z</dcterms:created>
  <dcterms:modified xsi:type="dcterms:W3CDTF">2018-12-07T01:12:00Z</dcterms:modified>
</cp:coreProperties>
</file>