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06EE" w:rsidP="001106EE">
      <w:pPr>
        <w:pStyle w:val="Title"/>
      </w:pPr>
      <w:r>
        <w:fldChar w:fldCharType="begin"/>
      </w:r>
      <w:r>
        <w:instrText xml:space="preserve"> TITLE   \* MERGEFORMAT </w:instrText>
      </w:r>
      <w:r>
        <w:fldChar w:fldCharType="separate"/>
      </w:r>
      <w:r>
        <w:t>Assessment Requirements for AURETR040 Diagnose complex faults in vehicle monitoring and protection systems</w:t>
      </w:r>
      <w:r>
        <w:fldChar w:fldCharType="end"/>
      </w:r>
    </w:p>
    <w:p w:rsidR="001106EE" w:rsidP="001106EE">
      <w:pPr>
        <w:pStyle w:val="Version"/>
        <w:sectPr w:rsidSect="00765A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5A2D" w:rsidP="00765A2D">
      <w:pPr>
        <w:pStyle w:val="SuperHeading"/>
      </w:pPr>
      <w:r w:rsidRPr="00765A2D">
        <w:t>Assessment Requirements for AURETR040 Diagnose complex faults in vehicle monitoring and protection systems</w:t>
      </w:r>
    </w:p>
    <w:p w:rsidR="00000000" w:rsidRPr="00765A2D" w:rsidP="00765A2D">
      <w:pPr>
        <w:pStyle w:val="Heading1"/>
      </w:pPr>
      <w:bookmarkStart w:id="1" w:name="O_773742"/>
      <w:bookmarkEnd w:id="1"/>
      <w:r w:rsidRPr="00765A2D">
        <w:t>Modification History</w:t>
      </w:r>
    </w:p>
    <w:tbl>
      <w:tblPr>
        <w:tblW w:w="9639" w:type="dxa"/>
        <w:tblLayout w:type="fixed"/>
        <w:tblCellMar>
          <w:left w:w="62" w:type="dxa"/>
          <w:right w:w="62" w:type="dxa"/>
        </w:tblCellMar>
        <w:tblLook w:val="0000"/>
      </w:tblPr>
      <w:tblGrid>
        <w:gridCol w:w="2835"/>
        <w:gridCol w:w="6804"/>
      </w:tblGrid>
      <w:tr w:rsidTr="001106E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A2D" w:rsidP="00765A2D">
            <w:pPr>
              <w:pStyle w:val="BodyText"/>
            </w:pPr>
            <w:r w:rsidRPr="00765A2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2D">
            <w:pPr>
              <w:pStyle w:val="BodyText"/>
              <w:rPr>
                <w:lang w:val="en-NZ"/>
              </w:rPr>
            </w:pPr>
            <w:r w:rsidRPr="00765A2D">
              <w:rPr>
                <w:rStyle w:val="SpecialBold"/>
              </w:rPr>
              <w:t>Comment</w:t>
            </w:r>
          </w:p>
        </w:tc>
      </w:tr>
      <w:tr w:rsidTr="001106E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A2D">
            <w:pPr>
              <w:pStyle w:val="BodyText"/>
              <w:rPr>
                <w:lang w:val="en-NZ"/>
              </w:rPr>
            </w:pPr>
            <w:r w:rsidRPr="00765A2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A2D" w:rsidP="00765A2D">
            <w:pPr>
              <w:pStyle w:val="BodyText"/>
            </w:pPr>
            <w:r w:rsidRPr="00765A2D">
              <w:t>New unit of competency.</w:t>
            </w:r>
          </w:p>
        </w:tc>
      </w:tr>
    </w:tbl>
    <w:p w:rsidR="00000000" w:rsidRPr="00765A2D" w:rsidP="00765A2D">
      <w:pPr>
        <w:pStyle w:val="BodyText"/>
      </w:pPr>
    </w:p>
    <w:p w:rsidR="00000000" w:rsidRPr="00765A2D" w:rsidP="00765A2D">
      <w:pPr>
        <w:pStyle w:val="AllowPageBreak"/>
      </w:pPr>
    </w:p>
    <w:p w:rsidR="00000000" w:rsidRPr="00765A2D" w:rsidP="00765A2D">
      <w:pPr>
        <w:pStyle w:val="Heading1"/>
      </w:pPr>
      <w:bookmarkStart w:id="2" w:name="O_773743"/>
      <w:bookmarkEnd w:id="2"/>
      <w:r w:rsidRPr="00765A2D">
        <w:t>Performance Evidence</w:t>
      </w:r>
    </w:p>
    <w:p w:rsidR="00000000" w:rsidRPr="00765A2D" w:rsidP="001106EE">
      <w:pPr>
        <w:pStyle w:val="BodyText"/>
      </w:pPr>
      <w:r w:rsidRPr="00765A2D">
        <w:t>Before competency can be determined, individuals must demonstrate they can perform the following according to the standard defined in this unit’s elements, performance criteria, range of conditions and foundation skills:</w:t>
      </w:r>
    </w:p>
    <w:p w:rsidR="00000000" w:rsidRPr="00765A2D" w:rsidP="00765A2D">
      <w:pPr>
        <w:pStyle w:val="ListBullet"/>
      </w:pPr>
      <w:r w:rsidRPr="00765A2D">
        <w:t>diagnose complex faults in the mon</w:t>
      </w:r>
      <w:r w:rsidRPr="00765A2D">
        <w:t>itoring and protection systems of two different vehicles, vessels or machinery</w:t>
      </w:r>
    </w:p>
    <w:p w:rsidR="00000000" w:rsidRPr="00765A2D" w:rsidP="00765A2D">
      <w:pPr>
        <w:pStyle w:val="ListBullet"/>
      </w:pPr>
      <w:r w:rsidRPr="00765A2D">
        <w:t>the above diagnosis must involve two of the following types of complex faults:</w:t>
      </w:r>
    </w:p>
    <w:p w:rsidR="00000000" w:rsidRPr="00765A2D" w:rsidP="00765A2D">
      <w:pPr>
        <w:pStyle w:val="ListBullet2"/>
      </w:pPr>
      <w:r w:rsidRPr="00765A2D">
        <w:t>an intermittent fault</w:t>
      </w:r>
    </w:p>
    <w:p w:rsidR="00000000" w:rsidRPr="00765A2D" w:rsidP="00765A2D">
      <w:pPr>
        <w:pStyle w:val="ListBullet2"/>
      </w:pPr>
      <w:r w:rsidRPr="00765A2D">
        <w:t>a fault that affects more than one system</w:t>
      </w:r>
    </w:p>
    <w:p w:rsidR="00000000" w:rsidRPr="00765A2D" w:rsidP="00765A2D">
      <w:pPr>
        <w:pStyle w:val="ListBullet2"/>
      </w:pPr>
      <w:r w:rsidRPr="00765A2D">
        <w:t xml:space="preserve">a fault introduced as a result of a system repair </w:t>
      </w:r>
    </w:p>
    <w:p w:rsidR="00000000" w:rsidRPr="00765A2D" w:rsidP="00765A2D">
      <w:pPr>
        <w:pStyle w:val="ListBullet2"/>
      </w:pPr>
      <w:r w:rsidRPr="00765A2D">
        <w:t>an indirect fault caused by the influence of external systems</w:t>
      </w:r>
    </w:p>
    <w:p w:rsidR="00000000" w:rsidRPr="00765A2D" w:rsidP="00765A2D">
      <w:pPr>
        <w:pStyle w:val="AllowPageBreak"/>
      </w:pPr>
    </w:p>
    <w:p w:rsidR="00000000" w:rsidRPr="00765A2D" w:rsidP="00765A2D">
      <w:pPr>
        <w:pStyle w:val="Heading1"/>
      </w:pPr>
      <w:bookmarkStart w:id="3" w:name="O_773744"/>
      <w:bookmarkEnd w:id="3"/>
      <w:r w:rsidRPr="00765A2D">
        <w:t>Knowledge Evidence</w:t>
      </w:r>
    </w:p>
    <w:p w:rsidR="00000000" w:rsidRPr="00765A2D" w:rsidP="001106EE">
      <w:pPr>
        <w:pStyle w:val="BodyText"/>
      </w:pPr>
      <w:r w:rsidRPr="00765A2D">
        <w:t>Individuals must be able to demonstrate knowledge of:</w:t>
      </w:r>
    </w:p>
    <w:p w:rsidR="00000000" w:rsidRPr="00765A2D" w:rsidP="00765A2D">
      <w:pPr>
        <w:pStyle w:val="ListBullet"/>
      </w:pPr>
      <w:r w:rsidRPr="00765A2D">
        <w:t>work health and safety (WHS) and occupational health</w:t>
      </w:r>
      <w:r w:rsidRPr="00765A2D">
        <w:t xml:space="preserve"> and safety (OHS) requirements relating to diagnosing complex faults in vehicle monitoring and protection systems, including procedures for identifying hazards and controlling risks associated with wearing jewellery while working around high electrical cur</w:t>
      </w:r>
      <w:r w:rsidRPr="00765A2D">
        <w:t>rents</w:t>
      </w:r>
    </w:p>
    <w:p w:rsidR="00000000" w:rsidRPr="00765A2D" w:rsidP="00765A2D">
      <w:pPr>
        <w:pStyle w:val="ListBullet"/>
      </w:pPr>
      <w:r w:rsidRPr="00765A2D">
        <w:t>types of complex faults relating to vehicle monitoring and protection systems, including:</w:t>
      </w:r>
    </w:p>
    <w:p w:rsidR="00000000" w:rsidRPr="00765A2D" w:rsidP="00765A2D">
      <w:pPr>
        <w:pStyle w:val="ListBullet2"/>
      </w:pPr>
      <w:r w:rsidRPr="00765A2D">
        <w:t>intermittent</w:t>
      </w:r>
    </w:p>
    <w:p w:rsidR="00000000" w:rsidRPr="00765A2D" w:rsidP="00765A2D">
      <w:pPr>
        <w:pStyle w:val="ListBullet2"/>
      </w:pPr>
      <w:r w:rsidRPr="00765A2D">
        <w:t>multi-system</w:t>
      </w:r>
    </w:p>
    <w:p w:rsidR="00000000" w:rsidRPr="00765A2D" w:rsidP="00765A2D">
      <w:pPr>
        <w:pStyle w:val="ListBullet2"/>
      </w:pPr>
      <w:r w:rsidRPr="00765A2D">
        <w:t>introduced as a result of system repair</w:t>
      </w:r>
    </w:p>
    <w:p w:rsidR="00000000" w:rsidRPr="00765A2D" w:rsidP="00765A2D">
      <w:pPr>
        <w:pStyle w:val="ListBullet2"/>
      </w:pPr>
      <w:r w:rsidRPr="00765A2D">
        <w:t>indirect, caused by the influence of external systems</w:t>
      </w:r>
    </w:p>
    <w:p w:rsidR="00000000" w:rsidRPr="00765A2D" w:rsidP="00765A2D">
      <w:pPr>
        <w:pStyle w:val="ListBullet"/>
      </w:pPr>
      <w:r w:rsidRPr="00765A2D">
        <w:t>methods for locating and content of manufacturer specifications, workplace procedures and other technical information relating to vehicle monitoring and protection systems</w:t>
      </w:r>
    </w:p>
    <w:p w:rsidR="00000000" w:rsidRPr="00765A2D" w:rsidP="00765A2D">
      <w:pPr>
        <w:pStyle w:val="ListBullet"/>
      </w:pPr>
      <w:r w:rsidRPr="00765A2D">
        <w:t>types, function and operation of vehicle monitoring and protection systems, includin</w:t>
      </w:r>
      <w:r w:rsidRPr="00765A2D">
        <w:t>g:</w:t>
      </w:r>
    </w:p>
    <w:p w:rsidR="00000000" w:rsidRPr="00765A2D" w:rsidP="00765A2D">
      <w:pPr>
        <w:pStyle w:val="ListBullet2"/>
      </w:pPr>
      <w:r w:rsidRPr="00765A2D">
        <w:t>display types, including:</w:t>
      </w:r>
    </w:p>
    <w:p w:rsidR="00000000" w:rsidRPr="00765A2D" w:rsidP="00765A2D">
      <w:pPr>
        <w:pStyle w:val="ListBullet3"/>
      </w:pPr>
      <w:r w:rsidRPr="00765A2D">
        <w:t>liquid crystal display (LCD)</w:t>
      </w:r>
    </w:p>
    <w:p w:rsidR="00000000" w:rsidRPr="00765A2D" w:rsidP="00765A2D">
      <w:pPr>
        <w:pStyle w:val="ListBullet3"/>
      </w:pPr>
      <w:r w:rsidRPr="00765A2D">
        <w:t>vacuum fluorescent display (VFD)</w:t>
      </w:r>
    </w:p>
    <w:p w:rsidR="00000000" w:rsidRPr="00765A2D" w:rsidP="00765A2D">
      <w:pPr>
        <w:pStyle w:val="ListBullet3"/>
      </w:pPr>
      <w:r w:rsidRPr="00765A2D">
        <w:t>cathode ray tube (CRT)</w:t>
      </w:r>
    </w:p>
    <w:p w:rsidR="00000000" w:rsidRPr="00765A2D" w:rsidP="00765A2D">
      <w:pPr>
        <w:pStyle w:val="ListBullet3"/>
      </w:pPr>
      <w:r w:rsidRPr="00765A2D">
        <w:t>heads-up display (HUD)</w:t>
      </w:r>
    </w:p>
    <w:p w:rsidR="00000000" w:rsidRPr="00765A2D" w:rsidP="00765A2D">
      <w:pPr>
        <w:pStyle w:val="ListBullet2"/>
      </w:pPr>
      <w:r w:rsidRPr="00765A2D">
        <w:t>reconfigurable systems</w:t>
      </w:r>
    </w:p>
    <w:p w:rsidR="00000000" w:rsidRPr="00765A2D" w:rsidP="00765A2D">
      <w:pPr>
        <w:pStyle w:val="ListBullet2"/>
      </w:pPr>
      <w:r w:rsidRPr="00765A2D">
        <w:t>electronic analogue display</w:t>
      </w:r>
    </w:p>
    <w:p w:rsidR="00000000" w:rsidRPr="00765A2D" w:rsidP="00765A2D">
      <w:pPr>
        <w:pStyle w:val="ListBullet2"/>
      </w:pPr>
      <w:r w:rsidRPr="00765A2D">
        <w:t>on-board diagnostics</w:t>
      </w:r>
    </w:p>
    <w:p w:rsidR="00000000" w:rsidRPr="00765A2D" w:rsidP="00765A2D">
      <w:pPr>
        <w:pStyle w:val="ListBullet2"/>
      </w:pPr>
      <w:r w:rsidRPr="00765A2D">
        <w:t>remote and wireless monitoring systems</w:t>
      </w:r>
    </w:p>
    <w:p w:rsidR="00000000" w:rsidRPr="00765A2D" w:rsidP="00765A2D">
      <w:pPr>
        <w:pStyle w:val="ListBullet"/>
      </w:pPr>
      <w:r w:rsidRPr="00765A2D">
        <w:t>testing procedures for vehicle monitoring and protection systems, including:</w:t>
      </w:r>
    </w:p>
    <w:p w:rsidR="00000000" w:rsidRPr="00765A2D" w:rsidP="00765A2D">
      <w:pPr>
        <w:pStyle w:val="ListBullet2"/>
      </w:pPr>
      <w:r w:rsidRPr="00765A2D">
        <w:t>using digital multimeter, scan tool and oscilloscope</w:t>
      </w:r>
    </w:p>
    <w:p w:rsidR="00000000" w:rsidRPr="00765A2D" w:rsidP="00765A2D">
      <w:pPr>
        <w:pStyle w:val="ListBullet2"/>
      </w:pPr>
      <w:r w:rsidRPr="00765A2D">
        <w:t>component wear analysis</w:t>
      </w:r>
    </w:p>
    <w:p w:rsidR="00000000" w:rsidRPr="00765A2D" w:rsidP="00765A2D">
      <w:pPr>
        <w:pStyle w:val="ListBullet2"/>
      </w:pPr>
      <w:r w:rsidRPr="00765A2D">
        <w:t>system operation analysis</w:t>
      </w:r>
    </w:p>
    <w:p w:rsidR="00000000" w:rsidRPr="00765A2D" w:rsidP="00765A2D">
      <w:pPr>
        <w:pStyle w:val="ListBullet2"/>
      </w:pPr>
      <w:r w:rsidRPr="00765A2D">
        <w:t>vehicle continuous and non-continuous monitored systems</w:t>
      </w:r>
    </w:p>
    <w:p w:rsidR="00000000" w:rsidRPr="00765A2D" w:rsidP="00765A2D">
      <w:pPr>
        <w:pStyle w:val="ListBullet"/>
      </w:pPr>
      <w:r w:rsidRPr="00765A2D">
        <w:t>types, functions, operation and limitations of diagnostic testing equipment required to diagnose complex faults relating to vehicle monitoring and protection systems</w:t>
      </w:r>
    </w:p>
    <w:p w:rsidR="00000000" w:rsidRPr="00765A2D" w:rsidP="00765A2D">
      <w:pPr>
        <w:pStyle w:val="ListBullet"/>
      </w:pPr>
      <w:r w:rsidRPr="00765A2D">
        <w:t>procedures for accessing and interpreting scan tool system data, including:</w:t>
      </w:r>
    </w:p>
    <w:p w:rsidR="00000000" w:rsidRPr="00765A2D" w:rsidP="00765A2D">
      <w:pPr>
        <w:pStyle w:val="ListBullet2"/>
      </w:pPr>
      <w:r w:rsidRPr="00765A2D">
        <w:t>diagnostic tr</w:t>
      </w:r>
      <w:r w:rsidRPr="00765A2D">
        <w:t>ouble codes (DTCs), including:</w:t>
      </w:r>
    </w:p>
    <w:p w:rsidR="00000000" w:rsidRPr="00765A2D" w:rsidP="00765A2D">
      <w:pPr>
        <w:pStyle w:val="ListBullet3"/>
      </w:pPr>
      <w:r w:rsidRPr="00765A2D">
        <w:t>conditions that set the DTCs</w:t>
      </w:r>
    </w:p>
    <w:p w:rsidR="00000000" w:rsidRPr="00765A2D" w:rsidP="00765A2D">
      <w:pPr>
        <w:pStyle w:val="ListBullet3"/>
      </w:pPr>
      <w:r w:rsidRPr="00765A2D">
        <w:t>conditions for running DTCs</w:t>
      </w:r>
    </w:p>
    <w:p w:rsidR="00000000" w:rsidRPr="00765A2D" w:rsidP="00765A2D">
      <w:pPr>
        <w:pStyle w:val="ListBullet2"/>
      </w:pPr>
      <w:r w:rsidRPr="00765A2D">
        <w:t>live data</w:t>
      </w:r>
    </w:p>
    <w:p w:rsidR="00000000" w:rsidRPr="00765A2D" w:rsidP="00765A2D">
      <w:pPr>
        <w:pStyle w:val="ListBullet2"/>
      </w:pPr>
      <w:r w:rsidRPr="00765A2D">
        <w:t xml:space="preserve">freeze frame data </w:t>
      </w:r>
    </w:p>
    <w:p w:rsidR="00000000" w:rsidRPr="00765A2D" w:rsidP="00765A2D">
      <w:pPr>
        <w:pStyle w:val="ListBullet2"/>
      </w:pPr>
      <w:r w:rsidRPr="00765A2D">
        <w:t>waveforms</w:t>
      </w:r>
    </w:p>
    <w:p w:rsidR="00000000" w:rsidRPr="00765A2D" w:rsidP="00765A2D">
      <w:pPr>
        <w:pStyle w:val="ListBullet"/>
      </w:pPr>
      <w:r w:rsidRPr="00765A2D">
        <w:t>methods and processes for documenting and reporting diagnostic findings and recommendation.</w:t>
      </w:r>
    </w:p>
    <w:p w:rsidR="00000000" w:rsidRPr="00765A2D" w:rsidP="00765A2D">
      <w:pPr>
        <w:pStyle w:val="AllowPageBreak"/>
      </w:pPr>
    </w:p>
    <w:p w:rsidR="00000000" w:rsidRPr="00765A2D" w:rsidP="00765A2D">
      <w:pPr>
        <w:pStyle w:val="Heading1"/>
      </w:pPr>
      <w:bookmarkStart w:id="4" w:name="O_773745"/>
      <w:bookmarkEnd w:id="4"/>
      <w:r w:rsidRPr="00765A2D">
        <w:t>Assessment Conditions</w:t>
      </w:r>
    </w:p>
    <w:p w:rsidR="00000000" w:rsidRPr="00765A2D" w:rsidP="001106EE">
      <w:pPr>
        <w:pStyle w:val="BodyText"/>
      </w:pPr>
      <w:r w:rsidRPr="00765A2D">
        <w:t>Assessors must satisfy NVR/AQTF assessor requirements.</w:t>
      </w:r>
    </w:p>
    <w:p w:rsidR="00000000" w:rsidRPr="00765A2D" w:rsidP="001106EE">
      <w:pPr>
        <w:pStyle w:val="BodyText"/>
      </w:pPr>
      <w:r w:rsidRPr="00765A2D">
        <w:t>Competency is to be assessed in the workplace or a simulated environment that accurately reflects performance in a real workplace setting.</w:t>
      </w:r>
    </w:p>
    <w:p w:rsidR="00000000" w:rsidRPr="00765A2D" w:rsidP="001106EE">
      <w:pPr>
        <w:pStyle w:val="BodyText"/>
      </w:pPr>
      <w:r w:rsidRPr="00765A2D">
        <w:t>Assessment must include direct observation of tasks.</w:t>
      </w:r>
    </w:p>
    <w:p w:rsidR="00000000" w:rsidRPr="00765A2D" w:rsidP="001106EE">
      <w:pPr>
        <w:pStyle w:val="BodyText"/>
      </w:pPr>
      <w:r w:rsidRPr="00765A2D">
        <w:t>Where assessment of competency includes third-party evidence, individuals must provide evidence that links them to the monitoring and protection systems that they have worked on, e.g. repair orders.</w:t>
      </w:r>
    </w:p>
    <w:p w:rsidR="00000000" w:rsidRPr="00765A2D" w:rsidP="001106EE">
      <w:pPr>
        <w:pStyle w:val="BodyText"/>
      </w:pPr>
      <w:r w:rsidRPr="00765A2D">
        <w:t>As</w:t>
      </w:r>
      <w:r w:rsidRPr="00765A2D">
        <w:t>sessors must verify performance evidence through questioning on skills and knowledge to ensure correct interpretation and application.</w:t>
      </w:r>
    </w:p>
    <w:p w:rsidR="00000000" w:rsidRPr="00765A2D" w:rsidP="001106EE">
      <w:pPr>
        <w:pStyle w:val="BodyText"/>
      </w:pPr>
      <w:r w:rsidRPr="00765A2D">
        <w:t>The following resources must be made available:</w:t>
      </w:r>
    </w:p>
    <w:p w:rsidR="00000000" w:rsidRPr="00765A2D" w:rsidP="00765A2D">
      <w:pPr>
        <w:pStyle w:val="ListBullet"/>
      </w:pPr>
      <w:r w:rsidRPr="00765A2D">
        <w:t>automotive repair workplace or simulated workplace</w:t>
      </w:r>
    </w:p>
    <w:p w:rsidR="00000000" w:rsidRPr="00765A2D" w:rsidP="00765A2D">
      <w:pPr>
        <w:pStyle w:val="ListBullet"/>
      </w:pPr>
      <w:r w:rsidRPr="00765A2D">
        <w:t>workplace instructio</w:t>
      </w:r>
      <w:r w:rsidRPr="00765A2D">
        <w:t>ns</w:t>
      </w:r>
    </w:p>
    <w:p w:rsidR="00000000" w:rsidRPr="00765A2D" w:rsidP="00765A2D">
      <w:pPr>
        <w:pStyle w:val="ListBullet"/>
      </w:pPr>
      <w:r w:rsidRPr="00765A2D">
        <w:t>manufacturer vehicle, vessel or machinery monitoring and protection system specifications</w:t>
      </w:r>
    </w:p>
    <w:p w:rsidR="00000000" w:rsidRPr="00765A2D" w:rsidP="00765A2D">
      <w:pPr>
        <w:pStyle w:val="ListBullet"/>
      </w:pPr>
      <w:r w:rsidRPr="00765A2D">
        <w:t>three different vehicles, vessels or machinery with complex faults in their monitoring and protection systems</w:t>
      </w:r>
    </w:p>
    <w:p w:rsidR="00000000" w:rsidRPr="00765A2D" w:rsidP="00765A2D">
      <w:pPr>
        <w:pStyle w:val="ListBullet"/>
      </w:pPr>
      <w:r w:rsidRPr="00765A2D">
        <w:t>monitoring and protection system diagnostic equipment</w:t>
      </w:r>
      <w:r w:rsidRPr="00765A2D">
        <w:t xml:space="preserve"> relating to vehicles, vessels or machinery, including:</w:t>
      </w:r>
    </w:p>
    <w:p w:rsidR="00000000" w:rsidRPr="00765A2D" w:rsidP="00765A2D">
      <w:pPr>
        <w:pStyle w:val="ListBullet2"/>
      </w:pPr>
      <w:r w:rsidRPr="00765A2D">
        <w:t>digital multimeter</w:t>
      </w:r>
    </w:p>
    <w:p w:rsidR="00000000" w:rsidRPr="00765A2D" w:rsidP="00765A2D">
      <w:pPr>
        <w:pStyle w:val="ListBullet2"/>
      </w:pPr>
      <w:r w:rsidRPr="00765A2D">
        <w:t xml:space="preserve">scan tool </w:t>
      </w:r>
    </w:p>
    <w:p w:rsidR="00000000" w:rsidRPr="00765A2D" w:rsidP="00765A2D">
      <w:pPr>
        <w:pStyle w:val="ListBullet"/>
      </w:pPr>
      <w:r w:rsidRPr="00765A2D">
        <w:t>tools, equipment and materials appropriate for diagnosing complex faults in monitoring and protection systems of vehicles, vessels or machinery.</w:t>
      </w:r>
    </w:p>
    <w:p w:rsidR="00000000" w:rsidRPr="00765A2D" w:rsidP="00765A2D">
      <w:pPr>
        <w:pStyle w:val="AllowPageBreak"/>
      </w:pPr>
    </w:p>
    <w:p w:rsidR="00000000" w:rsidRPr="00765A2D" w:rsidP="00765A2D">
      <w:pPr>
        <w:pStyle w:val="Heading1"/>
      </w:pPr>
      <w:bookmarkStart w:id="5" w:name="O_773748"/>
      <w:bookmarkEnd w:id="5"/>
      <w:r w:rsidRPr="00765A2D">
        <w:t>Links</w:t>
      </w:r>
    </w:p>
    <w:p w:rsidR="00000000" w:rsidRPr="00765A2D" w:rsidP="001106EE">
      <w:pPr>
        <w:pStyle w:val="BodyText"/>
      </w:pPr>
      <w:r w:rsidRPr="00765A2D">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444AE4">
        <w:rPr>
          <w:rStyle w:val="Hyperlink"/>
        </w:rPr>
        <w:t>https://vetnet.education.gov.au/Pages/TrainingDocs.aspx?q=b4278d82-d487-4070-a8c4-78045ec695b1</w:t>
      </w:r>
      <w:r>
        <w:fldChar w:fldCharType="end"/>
      </w:r>
    </w:p>
    <w:p w:rsidR="00000000" w:rsidRPr="00765A2D" w:rsidP="001106EE">
      <w:pPr>
        <w:pStyle w:val="BodyText"/>
      </w:pPr>
      <w:r w:rsidRPr="00765A2D">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444AE4">
        <w:rPr>
          <w:rStyle w:val="Hyperlink"/>
        </w:rPr>
        <w:t>https://vetnet.education.gov.au/Pages/TrainingDocs.aspx?q=b4278d82-d487-4070-a8c4-78045ec695b1</w:t>
      </w:r>
      <w:r>
        <w:fldChar w:fldCharType="end"/>
      </w:r>
    </w:p>
    <w:p w:rsidR="00000000" w:rsidRPr="00765A2D" w:rsidP="00765A2D"/>
    <w:sectPr w:rsidSect="00765A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A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A2D" w:rsidRPr="001106EE" w:rsidP="001106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A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6EE" w:rsidP="00765A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106EE" w:rsidP="00765A2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1106EE" w:rsidP="00765A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A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6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5A2D" w:rsidRPr="001106EE" w:rsidP="001106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A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6EE" w:rsidRPr="002D2AF8" w:rsidP="00765A2D">
    <w:pPr>
      <w:pStyle w:val="Header"/>
      <w:framePr w:wrap="around"/>
    </w:pPr>
    <w:r>
      <w:fldChar w:fldCharType="begin"/>
    </w:r>
    <w:r>
      <w:instrText xml:space="preserve"> TITLE   \* MERGEFORMAT </w:instrText>
    </w:r>
    <w:r>
      <w:fldChar w:fldCharType="separate"/>
    </w:r>
    <w:r>
      <w:t>Assessment Requirements for AURETR040 Diagnose complex faults in vehicle monitoring and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1106EE" w:rsidP="00765A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141E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E28F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6E63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A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5A2D"/>
    <w:pPr>
      <w:spacing w:before="360" w:after="60"/>
      <w:outlineLvl w:val="0"/>
    </w:pPr>
    <w:rPr>
      <w:sz w:val="32"/>
    </w:rPr>
  </w:style>
  <w:style w:type="paragraph" w:styleId="Heading2">
    <w:name w:val="heading 2"/>
    <w:basedOn w:val="HeadingBase"/>
    <w:next w:val="BodyText"/>
    <w:link w:val="Heading2Char"/>
    <w:qFormat/>
    <w:rsid w:val="00765A2D"/>
    <w:pPr>
      <w:keepLines/>
      <w:spacing w:before="240" w:after="120"/>
      <w:outlineLvl w:val="1"/>
    </w:pPr>
    <w:rPr>
      <w:sz w:val="28"/>
      <w:szCs w:val="40"/>
    </w:rPr>
  </w:style>
  <w:style w:type="paragraph" w:styleId="Heading3">
    <w:name w:val="heading 3"/>
    <w:basedOn w:val="HeadingBase"/>
    <w:next w:val="BodyText"/>
    <w:link w:val="Heading3Char"/>
    <w:qFormat/>
    <w:rsid w:val="00765A2D"/>
    <w:pPr>
      <w:spacing w:before="180" w:after="120"/>
      <w:outlineLvl w:val="2"/>
    </w:pPr>
    <w:rPr>
      <w:spacing w:val="-10"/>
      <w:kern w:val="32"/>
    </w:rPr>
  </w:style>
  <w:style w:type="paragraph" w:styleId="Heading4">
    <w:name w:val="heading 4"/>
    <w:basedOn w:val="HeadingBase"/>
    <w:next w:val="BodyText"/>
    <w:link w:val="Heading4Char"/>
    <w:qFormat/>
    <w:rsid w:val="00765A2D"/>
    <w:pPr>
      <w:spacing w:before="160" w:after="120"/>
      <w:outlineLvl w:val="3"/>
    </w:pPr>
    <w:rPr>
      <w:sz w:val="22"/>
    </w:rPr>
  </w:style>
  <w:style w:type="paragraph" w:styleId="Heading5">
    <w:name w:val="heading 5"/>
    <w:basedOn w:val="HeadingBase"/>
    <w:next w:val="Normal"/>
    <w:link w:val="Heading5Char"/>
    <w:qFormat/>
    <w:rsid w:val="00765A2D"/>
    <w:pPr>
      <w:spacing w:before="80"/>
      <w:outlineLvl w:val="4"/>
    </w:pPr>
    <w:rPr>
      <w:color w:val="918585"/>
      <w:sz w:val="20"/>
    </w:rPr>
  </w:style>
  <w:style w:type="paragraph" w:styleId="Heading6">
    <w:name w:val="heading 6"/>
    <w:basedOn w:val="HeadingBase"/>
    <w:next w:val="Normal"/>
    <w:link w:val="Heading6Char"/>
    <w:qFormat/>
    <w:rsid w:val="00765A2D"/>
    <w:pPr>
      <w:spacing w:before="60"/>
      <w:outlineLvl w:val="5"/>
    </w:pPr>
    <w:rPr>
      <w:color w:val="918585"/>
      <w:sz w:val="20"/>
    </w:rPr>
  </w:style>
  <w:style w:type="paragraph" w:styleId="Heading7">
    <w:name w:val="heading 7"/>
    <w:basedOn w:val="Normal"/>
    <w:next w:val="Normal"/>
    <w:link w:val="Heading7Char"/>
    <w:qFormat/>
    <w:rsid w:val="00765A2D"/>
    <w:pPr>
      <w:ind w:left="720"/>
      <w:outlineLvl w:val="6"/>
    </w:pPr>
    <w:rPr>
      <w:i/>
    </w:rPr>
  </w:style>
  <w:style w:type="paragraph" w:styleId="Heading8">
    <w:name w:val="heading 8"/>
    <w:basedOn w:val="Normal"/>
    <w:next w:val="Normal"/>
    <w:link w:val="Heading8Char"/>
    <w:qFormat/>
    <w:rsid w:val="00765A2D"/>
    <w:pPr>
      <w:ind w:left="720"/>
      <w:outlineLvl w:val="7"/>
    </w:pPr>
    <w:rPr>
      <w:i/>
    </w:rPr>
  </w:style>
  <w:style w:type="paragraph" w:styleId="Heading9">
    <w:name w:val="heading 9"/>
    <w:basedOn w:val="Normal"/>
    <w:next w:val="Normal"/>
    <w:link w:val="Heading9Char"/>
    <w:qFormat/>
    <w:rsid w:val="00765A2D"/>
    <w:pPr>
      <w:ind w:left="720"/>
      <w:outlineLvl w:val="8"/>
    </w:pPr>
    <w:rPr>
      <w:i/>
    </w:rPr>
  </w:style>
  <w:style w:type="character" w:default="1" w:styleId="DefaultParagraphFont">
    <w:name w:val="Default Paragraph Font"/>
    <w:uiPriority w:val="1"/>
    <w:unhideWhenUsed/>
    <w:rsid w:val="00765A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5A2D"/>
  </w:style>
  <w:style w:type="character" w:customStyle="1" w:styleId="Heading1Char">
    <w:name w:val="Heading 1 Char"/>
    <w:basedOn w:val="DefaultParagraphFont"/>
    <w:link w:val="Heading1"/>
    <w:rsid w:val="00765A2D"/>
    <w:rPr>
      <w:rFonts w:ascii="Times New Roman" w:eastAsia="Times New Roman" w:hAnsi="Times New Roman" w:cs="Times New Roman"/>
      <w:b/>
      <w:sz w:val="32"/>
      <w:szCs w:val="20"/>
      <w:lang w:eastAsia="en-US"/>
    </w:rPr>
  </w:style>
  <w:style w:type="paragraph" w:styleId="BodyText">
    <w:name w:val="Body Text"/>
    <w:basedOn w:val="Normal"/>
    <w:link w:val="BodyTextChar"/>
    <w:rsid w:val="00765A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5A2D"/>
    <w:rPr>
      <w:rFonts w:ascii="Times New Roman" w:eastAsia="Times New Roman" w:hAnsi="Times New Roman" w:cs="Times New Roman"/>
      <w:sz w:val="24"/>
      <w:lang w:eastAsia="en-US"/>
    </w:rPr>
  </w:style>
  <w:style w:type="paragraph" w:styleId="ListBullet">
    <w:name w:val="List Bullet"/>
    <w:basedOn w:val="List"/>
    <w:rsid w:val="00765A2D"/>
    <w:pPr>
      <w:numPr>
        <w:numId w:val="14"/>
      </w:numPr>
      <w:tabs>
        <w:tab w:val="clear" w:pos="340"/>
      </w:tabs>
      <w:spacing w:before="40" w:after="40"/>
    </w:pPr>
  </w:style>
  <w:style w:type="character" w:customStyle="1" w:styleId="SpecialBold">
    <w:name w:val="Special Bold"/>
    <w:basedOn w:val="DefaultParagraphFont"/>
    <w:rsid w:val="00765A2D"/>
    <w:rPr>
      <w:b/>
      <w:spacing w:val="0"/>
    </w:rPr>
  </w:style>
  <w:style w:type="paragraph" w:styleId="ListBullet2">
    <w:name w:val="List Bullet 2"/>
    <w:basedOn w:val="List2"/>
    <w:rsid w:val="00765A2D"/>
    <w:pPr>
      <w:numPr>
        <w:numId w:val="15"/>
      </w:numPr>
      <w:tabs>
        <w:tab w:val="clear" w:pos="680"/>
      </w:tabs>
    </w:pPr>
  </w:style>
  <w:style w:type="paragraph" w:customStyle="1" w:styleId="SuperHeading">
    <w:name w:val="SuperHeading"/>
    <w:basedOn w:val="Normal"/>
    <w:rsid w:val="00765A2D"/>
    <w:pPr>
      <w:spacing w:before="240" w:after="120"/>
      <w:outlineLvl w:val="0"/>
    </w:pPr>
    <w:rPr>
      <w:rFonts w:ascii="Times New Roman" w:hAnsi="Times New Roman"/>
      <w:b/>
      <w:sz w:val="32"/>
    </w:rPr>
  </w:style>
  <w:style w:type="paragraph" w:customStyle="1" w:styleId="AllowPageBreak">
    <w:name w:val="AllowPageBreak"/>
    <w:rsid w:val="00765A2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65A2D"/>
    <w:pPr>
      <w:numPr>
        <w:numId w:val="3"/>
      </w:numPr>
      <w:tabs>
        <w:tab w:val="clear" w:pos="1021"/>
      </w:tabs>
      <w:ind w:left="1037" w:hanging="357"/>
    </w:pPr>
  </w:style>
  <w:style w:type="character" w:customStyle="1" w:styleId="Heading2Char">
    <w:name w:val="Heading 2 Char"/>
    <w:basedOn w:val="DefaultParagraphFont"/>
    <w:link w:val="Heading2"/>
    <w:rsid w:val="00765A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5A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5A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5A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5A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5A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5A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5A2D"/>
    <w:rPr>
      <w:rFonts w:ascii="Courier New" w:eastAsia="Times New Roman" w:hAnsi="Courier New" w:cs="Times New Roman"/>
      <w:i/>
      <w:szCs w:val="20"/>
      <w:lang w:eastAsia="en-US"/>
    </w:rPr>
  </w:style>
  <w:style w:type="paragraph" w:customStyle="1" w:styleId="HeadingBase">
    <w:name w:val="Heading Base"/>
    <w:rsid w:val="00765A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5A2D"/>
    <w:pPr>
      <w:tabs>
        <w:tab w:val="right" w:leader="dot" w:pos="9072"/>
      </w:tabs>
      <w:ind w:left="567"/>
    </w:pPr>
    <w:rPr>
      <w:szCs w:val="22"/>
    </w:rPr>
  </w:style>
  <w:style w:type="paragraph" w:customStyle="1" w:styleId="TOCBase">
    <w:name w:val="TOC Base"/>
    <w:rsid w:val="00765A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5A2D"/>
    <w:pPr>
      <w:tabs>
        <w:tab w:val="right" w:leader="dot" w:pos="9072"/>
      </w:tabs>
      <w:spacing w:before="40" w:after="40"/>
      <w:ind w:left="284"/>
    </w:pPr>
    <w:rPr>
      <w:rFonts w:ascii="Times New Roman" w:hAnsi="Times New Roman"/>
    </w:rPr>
  </w:style>
  <w:style w:type="paragraph" w:styleId="TOC1">
    <w:name w:val="toc 1"/>
    <w:basedOn w:val="TOCBase"/>
    <w:next w:val="Normal"/>
    <w:rsid w:val="00765A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5A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5A2D"/>
    <w:rPr>
      <w:rFonts w:ascii="Times New Roman" w:eastAsia="Times New Roman" w:hAnsi="Times New Roman" w:cs="Times New Roman"/>
      <w:sz w:val="16"/>
      <w:lang w:eastAsia="en-US"/>
    </w:rPr>
  </w:style>
  <w:style w:type="paragraph" w:styleId="Title">
    <w:name w:val="Title"/>
    <w:basedOn w:val="HeadingBase"/>
    <w:link w:val="TitleChar"/>
    <w:qFormat/>
    <w:rsid w:val="00765A2D"/>
    <w:pPr>
      <w:spacing w:before="5040"/>
      <w:jc w:val="center"/>
    </w:pPr>
    <w:rPr>
      <w:sz w:val="48"/>
      <w:szCs w:val="72"/>
      <w:lang w:val="en-US"/>
    </w:rPr>
  </w:style>
  <w:style w:type="character" w:customStyle="1" w:styleId="TitleChar">
    <w:name w:val="Title Char"/>
    <w:basedOn w:val="DefaultParagraphFont"/>
    <w:link w:val="Title"/>
    <w:rsid w:val="00765A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5A2D"/>
    <w:pPr>
      <w:tabs>
        <w:tab w:val="left" w:pos="3600"/>
        <w:tab w:val="left" w:pos="3958"/>
      </w:tabs>
    </w:pPr>
  </w:style>
  <w:style w:type="paragraph" w:styleId="List">
    <w:name w:val="List"/>
    <w:basedOn w:val="BodyText"/>
    <w:next w:val="BodyText"/>
    <w:rsid w:val="00765A2D"/>
    <w:pPr>
      <w:tabs>
        <w:tab w:val="left" w:pos="340"/>
      </w:tabs>
      <w:spacing w:before="60" w:after="60"/>
      <w:ind w:left="340" w:hanging="340"/>
    </w:pPr>
  </w:style>
  <w:style w:type="paragraph" w:customStyle="1" w:styleId="Note">
    <w:name w:val="Note"/>
    <w:basedOn w:val="BodyText"/>
    <w:rsid w:val="00765A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5A2D"/>
    <w:pPr>
      <w:framePr w:wrap="auto" w:hAnchor="text" w:y="6049"/>
    </w:pPr>
    <w:rPr>
      <w:color w:val="000000"/>
      <w:sz w:val="40"/>
    </w:rPr>
  </w:style>
  <w:style w:type="paragraph" w:customStyle="1" w:styleId="TOCTitle">
    <w:name w:val="TOCTitle"/>
    <w:basedOn w:val="Heading1"/>
    <w:rsid w:val="00765A2D"/>
    <w:pPr>
      <w:spacing w:after="240"/>
      <w:jc w:val="center"/>
      <w:outlineLvl w:val="9"/>
    </w:pPr>
    <w:rPr>
      <w:caps/>
    </w:rPr>
  </w:style>
  <w:style w:type="paragraph" w:customStyle="1" w:styleId="Version">
    <w:name w:val="Version"/>
    <w:rsid w:val="00765A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5A2D"/>
    <w:pPr>
      <w:keepNext w:val="0"/>
      <w:tabs>
        <w:tab w:val="right" w:pos="4176"/>
      </w:tabs>
      <w:ind w:left="198" w:hanging="198"/>
    </w:pPr>
    <w:rPr>
      <w:rFonts w:ascii="Garamond" w:hAnsi="Garamond"/>
    </w:rPr>
  </w:style>
  <w:style w:type="paragraph" w:styleId="IndexHeading">
    <w:name w:val="index heading"/>
    <w:basedOn w:val="Normal"/>
    <w:next w:val="Index1"/>
    <w:semiHidden/>
    <w:rsid w:val="00765A2D"/>
    <w:pPr>
      <w:spacing w:before="120" w:after="120"/>
    </w:pPr>
    <w:rPr>
      <w:rFonts w:ascii="Arial" w:hAnsi="Arial"/>
      <w:b/>
      <w:color w:val="918585"/>
      <w:sz w:val="24"/>
    </w:rPr>
  </w:style>
  <w:style w:type="paragraph" w:styleId="Header">
    <w:name w:val="header"/>
    <w:basedOn w:val="Normal"/>
    <w:link w:val="HeaderChar"/>
    <w:rsid w:val="00765A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5A2D"/>
    <w:rPr>
      <w:rFonts w:ascii="Times New Roman" w:eastAsia="Times New Roman" w:hAnsi="Times New Roman" w:cs="Times New Roman"/>
      <w:sz w:val="16"/>
      <w:szCs w:val="20"/>
      <w:lang w:val="en-GB" w:eastAsia="en-US"/>
    </w:rPr>
  </w:style>
  <w:style w:type="paragraph" w:customStyle="1" w:styleId="Chapter">
    <w:name w:val="Chapter"/>
    <w:basedOn w:val="Normal"/>
    <w:rsid w:val="00765A2D"/>
    <w:pPr>
      <w:spacing w:before="240"/>
    </w:pPr>
    <w:rPr>
      <w:rFonts w:ascii="Times New Roman" w:hAnsi="Times New Roman"/>
      <w:smallCaps/>
      <w:spacing w:val="80"/>
      <w:sz w:val="28"/>
    </w:rPr>
  </w:style>
  <w:style w:type="paragraph" w:customStyle="1" w:styleId="InChapter">
    <w:name w:val="InChapter"/>
    <w:basedOn w:val="Heading3"/>
    <w:rsid w:val="00765A2D"/>
    <w:pPr>
      <w:spacing w:after="240"/>
      <w:outlineLvl w:val="9"/>
    </w:pPr>
    <w:rPr>
      <w:noProof/>
    </w:rPr>
  </w:style>
  <w:style w:type="paragraph" w:styleId="Index2">
    <w:name w:val="index 2"/>
    <w:basedOn w:val="Normal"/>
    <w:next w:val="Normal"/>
    <w:semiHidden/>
    <w:rsid w:val="00765A2D"/>
    <w:pPr>
      <w:tabs>
        <w:tab w:val="right" w:pos="4176"/>
      </w:tabs>
      <w:ind w:left="568" w:hanging="284"/>
    </w:pPr>
    <w:rPr>
      <w:rFonts w:ascii="Garamond" w:hAnsi="Garamond"/>
    </w:rPr>
  </w:style>
  <w:style w:type="paragraph" w:customStyle="1" w:styleId="Byline">
    <w:name w:val="Byline"/>
    <w:rsid w:val="00765A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5A2D"/>
    <w:pPr>
      <w:tabs>
        <w:tab w:val="clear" w:pos="3600"/>
        <w:tab w:val="clear" w:pos="3958"/>
      </w:tabs>
      <w:jc w:val="right"/>
    </w:pPr>
  </w:style>
  <w:style w:type="character" w:styleId="Emphasis">
    <w:name w:val="Emphasis"/>
    <w:basedOn w:val="DefaultParagraphFont"/>
    <w:qFormat/>
    <w:rsid w:val="00765A2D"/>
    <w:rPr>
      <w:i/>
    </w:rPr>
  </w:style>
  <w:style w:type="paragraph" w:styleId="Caption">
    <w:name w:val="caption"/>
    <w:basedOn w:val="BodyText"/>
    <w:next w:val="Normal"/>
    <w:qFormat/>
    <w:rsid w:val="00765A2D"/>
    <w:pPr>
      <w:framePr w:w="2268" w:hSpace="181" w:vSpace="181" w:wrap="around" w:vAnchor="text" w:hAnchor="page" w:x="1135" w:y="285" w:anchorLock="1"/>
    </w:pPr>
    <w:rPr>
      <w:i/>
    </w:rPr>
  </w:style>
  <w:style w:type="paragraph" w:customStyle="1" w:styleId="MiniTOCTitle">
    <w:name w:val="MiniTOCTitle"/>
    <w:basedOn w:val="Heading4"/>
    <w:rsid w:val="00765A2D"/>
    <w:pPr>
      <w:spacing w:before="240"/>
      <w:outlineLvl w:val="9"/>
    </w:pPr>
    <w:rPr>
      <w:noProof/>
      <w:sz w:val="24"/>
    </w:rPr>
  </w:style>
  <w:style w:type="paragraph" w:customStyle="1" w:styleId="MiniTOCItem">
    <w:name w:val="MiniTOCItem"/>
    <w:basedOn w:val="ListBullet"/>
    <w:rsid w:val="00765A2D"/>
    <w:pPr>
      <w:numPr>
        <w:numId w:val="0"/>
      </w:numPr>
      <w:tabs>
        <w:tab w:val="right" w:leader="dot" w:pos="6521"/>
      </w:tabs>
      <w:spacing w:before="0" w:after="0"/>
    </w:pPr>
  </w:style>
  <w:style w:type="paragraph" w:customStyle="1" w:styleId="TOFTitle">
    <w:name w:val="TOFTitle"/>
    <w:basedOn w:val="TOCTitle"/>
    <w:rsid w:val="00765A2D"/>
  </w:style>
  <w:style w:type="paragraph" w:styleId="TableofFigures">
    <w:name w:val="table of figures"/>
    <w:basedOn w:val="Normal"/>
    <w:next w:val="Normal"/>
    <w:semiHidden/>
    <w:rsid w:val="00765A2D"/>
    <w:pPr>
      <w:tabs>
        <w:tab w:val="right" w:leader="dot" w:pos="9072"/>
      </w:tabs>
      <w:ind w:left="970" w:hanging="403"/>
    </w:pPr>
    <w:rPr>
      <w:rFonts w:ascii="Times New Roman" w:hAnsi="Times New Roman"/>
      <w:b/>
    </w:rPr>
  </w:style>
  <w:style w:type="paragraph" w:styleId="ListNumber">
    <w:name w:val="List Number"/>
    <w:basedOn w:val="List"/>
    <w:rsid w:val="00765A2D"/>
    <w:pPr>
      <w:numPr>
        <w:numId w:val="12"/>
      </w:numPr>
    </w:pPr>
  </w:style>
  <w:style w:type="character" w:customStyle="1" w:styleId="WingdingSymbols">
    <w:name w:val="Wingding Symbols"/>
    <w:rsid w:val="00765A2D"/>
    <w:rPr>
      <w:rFonts w:ascii="Wingdings" w:hAnsi="Wingdings"/>
    </w:rPr>
  </w:style>
  <w:style w:type="paragraph" w:customStyle="1" w:styleId="TableHeading">
    <w:name w:val="Table Heading"/>
    <w:basedOn w:val="HeadingBase"/>
    <w:rsid w:val="00765A2D"/>
    <w:pPr>
      <w:keepLines/>
      <w:pBdr>
        <w:bottom w:val="single" w:sz="6" w:space="1" w:color="918585"/>
      </w:pBdr>
      <w:spacing w:before="240"/>
    </w:pPr>
  </w:style>
  <w:style w:type="character" w:customStyle="1" w:styleId="HotSpot">
    <w:name w:val="HotSpot"/>
    <w:rsid w:val="00765A2D"/>
    <w:rPr>
      <w:color w:val="0033CC"/>
      <w:u w:val="none"/>
    </w:rPr>
  </w:style>
  <w:style w:type="paragraph" w:customStyle="1" w:styleId="BodyTextRight">
    <w:name w:val="Body Text Right"/>
    <w:basedOn w:val="BodyText"/>
    <w:rsid w:val="00765A2D"/>
    <w:pPr>
      <w:spacing w:before="0" w:after="0"/>
      <w:jc w:val="right"/>
    </w:pPr>
  </w:style>
  <w:style w:type="paragraph" w:styleId="Index3">
    <w:name w:val="index 3"/>
    <w:basedOn w:val="ListNumber2"/>
    <w:next w:val="Normal"/>
    <w:semiHidden/>
    <w:rsid w:val="00765A2D"/>
    <w:pPr>
      <w:numPr>
        <w:numId w:val="0"/>
      </w:numPr>
      <w:tabs>
        <w:tab w:val="right" w:leader="dot" w:pos="4176"/>
      </w:tabs>
    </w:pPr>
  </w:style>
  <w:style w:type="paragraph" w:styleId="ListNumber2">
    <w:name w:val="List Number 2"/>
    <w:basedOn w:val="List2"/>
    <w:rsid w:val="00765A2D"/>
    <w:pPr>
      <w:numPr>
        <w:numId w:val="11"/>
      </w:numPr>
      <w:tabs>
        <w:tab w:val="clear" w:pos="1060"/>
      </w:tabs>
    </w:pPr>
  </w:style>
  <w:style w:type="paragraph" w:customStyle="1" w:styleId="MarginNote">
    <w:name w:val="Margin Note"/>
    <w:basedOn w:val="BodyText"/>
    <w:rsid w:val="00765A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5A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5A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5A2D"/>
    <w:rPr>
      <w:sz w:val="32"/>
    </w:rPr>
  </w:style>
  <w:style w:type="paragraph" w:customStyle="1" w:styleId="HeadingProcedure">
    <w:name w:val="Heading Procedure"/>
    <w:basedOn w:val="HeadingBase"/>
    <w:next w:val="Normal"/>
    <w:rsid w:val="00765A2D"/>
    <w:pPr>
      <w:tabs>
        <w:tab w:val="left" w:pos="0"/>
      </w:tabs>
      <w:spacing w:before="120" w:after="60"/>
    </w:pPr>
    <w:rPr>
      <w:i/>
      <w:color w:val="918585"/>
      <w:sz w:val="22"/>
    </w:rPr>
  </w:style>
  <w:style w:type="paragraph" w:customStyle="1" w:styleId="TableBodyText">
    <w:name w:val="Table Body Text"/>
    <w:basedOn w:val="BodyText"/>
    <w:rsid w:val="00765A2D"/>
    <w:pPr>
      <w:spacing w:before="60" w:after="60"/>
    </w:pPr>
  </w:style>
  <w:style w:type="paragraph" w:styleId="ListContinue">
    <w:name w:val="List Continue"/>
    <w:basedOn w:val="List"/>
    <w:rsid w:val="00765A2D"/>
    <w:pPr>
      <w:ind w:firstLine="0"/>
    </w:pPr>
  </w:style>
  <w:style w:type="paragraph" w:customStyle="1" w:styleId="ListNote">
    <w:name w:val="List Note"/>
    <w:basedOn w:val="List"/>
    <w:rsid w:val="00765A2D"/>
    <w:pPr>
      <w:pBdr>
        <w:top w:val="single" w:sz="6" w:space="2" w:color="918585"/>
        <w:bottom w:val="single" w:sz="6" w:space="2" w:color="918585"/>
      </w:pBdr>
      <w:tabs>
        <w:tab w:val="left" w:pos="1021"/>
      </w:tabs>
      <w:ind w:firstLine="0"/>
    </w:pPr>
  </w:style>
  <w:style w:type="paragraph" w:customStyle="1" w:styleId="Warning">
    <w:name w:val="Warning"/>
    <w:basedOn w:val="BodyText"/>
    <w:rsid w:val="00765A2D"/>
    <w:pPr>
      <w:shd w:val="clear" w:color="auto" w:fill="D9D9D9"/>
      <w:tabs>
        <w:tab w:val="left" w:pos="992"/>
      </w:tabs>
      <w:ind w:left="119" w:right="119"/>
    </w:pPr>
    <w:rPr>
      <w:sz w:val="20"/>
    </w:rPr>
  </w:style>
  <w:style w:type="paragraph" w:customStyle="1" w:styleId="MarginIcons">
    <w:name w:val="Margin Icons"/>
    <w:basedOn w:val="BodyText"/>
    <w:rsid w:val="00765A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5A2D"/>
    <w:rPr>
      <w:rFonts w:ascii="Courier New" w:hAnsi="Courier New"/>
    </w:rPr>
  </w:style>
  <w:style w:type="paragraph" w:customStyle="1" w:styleId="NoteBullet">
    <w:name w:val="Note Bullet"/>
    <w:basedOn w:val="Note"/>
    <w:rsid w:val="00765A2D"/>
    <w:pPr>
      <w:tabs>
        <w:tab w:val="clear" w:pos="680"/>
      </w:tabs>
      <w:spacing w:before="60" w:after="60"/>
    </w:pPr>
  </w:style>
  <w:style w:type="paragraph" w:customStyle="1" w:styleId="SubHeading2">
    <w:name w:val="SubHeading2"/>
    <w:basedOn w:val="HeadingBase"/>
    <w:rsid w:val="00765A2D"/>
    <w:pPr>
      <w:spacing w:before="240" w:after="60"/>
    </w:pPr>
    <w:rPr>
      <w:sz w:val="20"/>
    </w:rPr>
  </w:style>
  <w:style w:type="paragraph" w:customStyle="1" w:styleId="SubHeading1">
    <w:name w:val="SubHeading1"/>
    <w:basedOn w:val="HeadingBase"/>
    <w:rsid w:val="00765A2D"/>
    <w:pPr>
      <w:spacing w:before="240" w:after="60"/>
    </w:pPr>
    <w:rPr>
      <w:color w:val="918585"/>
      <w:sz w:val="22"/>
    </w:rPr>
  </w:style>
  <w:style w:type="paragraph" w:customStyle="1" w:styleId="SideHeading">
    <w:name w:val="Side Heading"/>
    <w:basedOn w:val="HeadingBase"/>
    <w:rsid w:val="00765A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5A2D"/>
    <w:pPr>
      <w:numPr>
        <w:numId w:val="13"/>
      </w:numPr>
    </w:pPr>
  </w:style>
  <w:style w:type="paragraph" w:styleId="PlainText">
    <w:name w:val="Plain Text"/>
    <w:basedOn w:val="Normal"/>
    <w:link w:val="PlainTextChar"/>
    <w:rsid w:val="00765A2D"/>
    <w:rPr>
      <w:sz w:val="20"/>
    </w:rPr>
  </w:style>
  <w:style w:type="character" w:customStyle="1" w:styleId="PlainTextChar">
    <w:name w:val="Plain Text Char"/>
    <w:basedOn w:val="DefaultParagraphFont"/>
    <w:link w:val="PlainText"/>
    <w:rsid w:val="00765A2D"/>
    <w:rPr>
      <w:rFonts w:ascii="Courier New" w:eastAsia="Times New Roman" w:hAnsi="Courier New" w:cs="Times New Roman"/>
      <w:sz w:val="20"/>
      <w:szCs w:val="20"/>
      <w:lang w:eastAsia="en-US"/>
    </w:rPr>
  </w:style>
  <w:style w:type="character" w:customStyle="1" w:styleId="MenuOption">
    <w:name w:val="Menu Option"/>
    <w:basedOn w:val="DefaultParagraphFont"/>
    <w:rsid w:val="00765A2D"/>
    <w:rPr>
      <w:b/>
      <w:smallCaps/>
    </w:rPr>
  </w:style>
  <w:style w:type="paragraph" w:customStyle="1" w:styleId="TableListNumber">
    <w:name w:val="Table List Number"/>
    <w:basedOn w:val="ListNumber"/>
    <w:rsid w:val="00765A2D"/>
    <w:pPr>
      <w:numPr>
        <w:numId w:val="0"/>
      </w:numPr>
    </w:pPr>
  </w:style>
  <w:style w:type="paragraph" w:styleId="TOC4">
    <w:name w:val="toc 4"/>
    <w:basedOn w:val="TOCBase"/>
    <w:next w:val="Normal"/>
    <w:semiHidden/>
    <w:rsid w:val="00765A2D"/>
    <w:pPr>
      <w:tabs>
        <w:tab w:val="right" w:leader="dot" w:pos="9071"/>
      </w:tabs>
      <w:ind w:left="1701"/>
    </w:pPr>
  </w:style>
  <w:style w:type="paragraph" w:customStyle="1" w:styleId="ListAlpha">
    <w:name w:val="List Alpha"/>
    <w:basedOn w:val="List"/>
    <w:rsid w:val="00765A2D"/>
    <w:pPr>
      <w:numPr>
        <w:numId w:val="10"/>
      </w:numPr>
    </w:pPr>
  </w:style>
  <w:style w:type="paragraph" w:customStyle="1" w:styleId="ListAlpha2">
    <w:name w:val="List Alpha 2"/>
    <w:basedOn w:val="List2"/>
    <w:rsid w:val="00765A2D"/>
    <w:pPr>
      <w:numPr>
        <w:numId w:val="9"/>
      </w:numPr>
    </w:pPr>
  </w:style>
  <w:style w:type="paragraph" w:styleId="List2">
    <w:name w:val="List 2"/>
    <w:basedOn w:val="BodyText"/>
    <w:rsid w:val="00765A2D"/>
    <w:pPr>
      <w:tabs>
        <w:tab w:val="left" w:pos="680"/>
      </w:tabs>
      <w:spacing w:before="60" w:after="60"/>
      <w:ind w:left="680" w:hanging="340"/>
    </w:pPr>
  </w:style>
  <w:style w:type="paragraph" w:styleId="List3">
    <w:name w:val="List 3"/>
    <w:basedOn w:val="BodyText"/>
    <w:rsid w:val="00765A2D"/>
    <w:pPr>
      <w:tabs>
        <w:tab w:val="left" w:pos="1021"/>
      </w:tabs>
      <w:spacing w:before="60" w:after="60"/>
      <w:ind w:left="1020" w:hanging="340"/>
    </w:pPr>
  </w:style>
  <w:style w:type="paragraph" w:styleId="List4">
    <w:name w:val="List 4"/>
    <w:basedOn w:val="BodyText"/>
    <w:rsid w:val="00765A2D"/>
    <w:pPr>
      <w:tabs>
        <w:tab w:val="left" w:pos="1361"/>
      </w:tabs>
      <w:spacing w:before="60" w:after="60"/>
      <w:ind w:left="1361" w:hanging="340"/>
    </w:pPr>
  </w:style>
  <w:style w:type="paragraph" w:styleId="List5">
    <w:name w:val="List 5"/>
    <w:basedOn w:val="BodyText"/>
    <w:rsid w:val="00765A2D"/>
    <w:pPr>
      <w:tabs>
        <w:tab w:val="left" w:pos="1701"/>
      </w:tabs>
      <w:spacing w:before="60" w:after="60"/>
      <w:ind w:left="1701" w:hanging="340"/>
    </w:pPr>
  </w:style>
  <w:style w:type="paragraph" w:styleId="ListBullet4">
    <w:name w:val="List Bullet 4"/>
    <w:basedOn w:val="List4"/>
    <w:rsid w:val="00765A2D"/>
    <w:pPr>
      <w:numPr>
        <w:numId w:val="4"/>
      </w:numPr>
      <w:tabs>
        <w:tab w:val="clear" w:pos="1361"/>
      </w:tabs>
    </w:pPr>
  </w:style>
  <w:style w:type="paragraph" w:styleId="ListBullet5">
    <w:name w:val="List Bullet 5"/>
    <w:basedOn w:val="List5"/>
    <w:rsid w:val="00765A2D"/>
    <w:pPr>
      <w:numPr>
        <w:numId w:val="5"/>
      </w:numPr>
    </w:pPr>
  </w:style>
  <w:style w:type="paragraph" w:styleId="ListContinue2">
    <w:name w:val="List Continue 2"/>
    <w:basedOn w:val="List2"/>
    <w:rsid w:val="00765A2D"/>
    <w:pPr>
      <w:ind w:firstLine="0"/>
    </w:pPr>
  </w:style>
  <w:style w:type="paragraph" w:styleId="ListContinue3">
    <w:name w:val="List Continue 3"/>
    <w:basedOn w:val="List3"/>
    <w:rsid w:val="00765A2D"/>
    <w:pPr>
      <w:ind w:left="1021" w:firstLine="0"/>
    </w:pPr>
  </w:style>
  <w:style w:type="paragraph" w:styleId="ListContinue4">
    <w:name w:val="List Continue 4"/>
    <w:basedOn w:val="List4"/>
    <w:rsid w:val="00765A2D"/>
    <w:pPr>
      <w:ind w:firstLine="0"/>
    </w:pPr>
  </w:style>
  <w:style w:type="paragraph" w:styleId="ListContinue5">
    <w:name w:val="List Continue 5"/>
    <w:basedOn w:val="List5"/>
    <w:rsid w:val="00765A2D"/>
    <w:pPr>
      <w:ind w:firstLine="0"/>
    </w:pPr>
  </w:style>
  <w:style w:type="paragraph" w:styleId="ListNumber3">
    <w:name w:val="List Number 3"/>
    <w:basedOn w:val="List3"/>
    <w:rsid w:val="00765A2D"/>
    <w:pPr>
      <w:numPr>
        <w:numId w:val="6"/>
      </w:numPr>
    </w:pPr>
  </w:style>
  <w:style w:type="paragraph" w:styleId="ListNumber4">
    <w:name w:val="List Number 4"/>
    <w:basedOn w:val="List4"/>
    <w:rsid w:val="00765A2D"/>
    <w:pPr>
      <w:numPr>
        <w:numId w:val="7"/>
      </w:numPr>
    </w:pPr>
  </w:style>
  <w:style w:type="paragraph" w:styleId="ListNumber5">
    <w:name w:val="List Number 5"/>
    <w:basedOn w:val="List5"/>
    <w:rsid w:val="00765A2D"/>
    <w:pPr>
      <w:numPr>
        <w:numId w:val="8"/>
      </w:numPr>
    </w:pPr>
  </w:style>
  <w:style w:type="paragraph" w:styleId="BlockText">
    <w:name w:val="Block Text"/>
    <w:basedOn w:val="Normal"/>
    <w:rsid w:val="00765A2D"/>
    <w:pPr>
      <w:spacing w:after="120"/>
      <w:ind w:left="1440" w:right="1440"/>
    </w:pPr>
  </w:style>
  <w:style w:type="character" w:customStyle="1" w:styleId="Subscript">
    <w:name w:val="Subscript"/>
    <w:basedOn w:val="DefaultParagraphFont"/>
    <w:rsid w:val="00765A2D"/>
    <w:rPr>
      <w:sz w:val="16"/>
      <w:vertAlign w:val="subscript"/>
    </w:rPr>
  </w:style>
  <w:style w:type="character" w:customStyle="1" w:styleId="Superscript">
    <w:name w:val="Superscript"/>
    <w:basedOn w:val="DefaultParagraphFont"/>
    <w:rsid w:val="00765A2D"/>
    <w:rPr>
      <w:sz w:val="16"/>
      <w:vertAlign w:val="superscript"/>
    </w:rPr>
  </w:style>
  <w:style w:type="character" w:customStyle="1" w:styleId="Symbols">
    <w:name w:val="Symbols"/>
    <w:basedOn w:val="DefaultParagraphFont"/>
    <w:rsid w:val="00765A2D"/>
    <w:rPr>
      <w:rFonts w:ascii="Symbol" w:hAnsi="Symbol"/>
    </w:rPr>
  </w:style>
  <w:style w:type="character" w:customStyle="1" w:styleId="MenuOptions">
    <w:name w:val="Menu Options"/>
    <w:basedOn w:val="DefaultParagraphFont"/>
    <w:rsid w:val="00765A2D"/>
    <w:rPr>
      <w:rFonts w:ascii="Arial Narrow" w:hAnsi="Arial Narrow"/>
      <w:smallCaps/>
    </w:rPr>
  </w:style>
  <w:style w:type="character" w:customStyle="1" w:styleId="Buttons">
    <w:name w:val="Buttons"/>
    <w:basedOn w:val="DefaultParagraphFont"/>
    <w:rsid w:val="00765A2D"/>
    <w:rPr>
      <w:b/>
    </w:rPr>
  </w:style>
  <w:style w:type="character" w:customStyle="1" w:styleId="Underlined">
    <w:name w:val="Underlined"/>
    <w:basedOn w:val="DefaultParagraphFont"/>
    <w:rsid w:val="00765A2D"/>
    <w:rPr>
      <w:u w:val="single"/>
    </w:rPr>
  </w:style>
  <w:style w:type="paragraph" w:customStyle="1" w:styleId="TableBodyTextRight">
    <w:name w:val="Table Body Text Right"/>
    <w:basedOn w:val="TableBodyText"/>
    <w:rsid w:val="00765A2D"/>
    <w:pPr>
      <w:widowControl w:val="0"/>
      <w:autoSpaceDE w:val="0"/>
      <w:autoSpaceDN w:val="0"/>
      <w:adjustRightInd w:val="0"/>
      <w:jc w:val="right"/>
    </w:pPr>
    <w:rPr>
      <w:rFonts w:cs="Arial"/>
      <w:szCs w:val="18"/>
    </w:rPr>
  </w:style>
  <w:style w:type="paragraph" w:customStyle="1" w:styleId="CopyrightText">
    <w:name w:val="Copyright Text"/>
    <w:basedOn w:val="BodyText"/>
    <w:rsid w:val="00765A2D"/>
    <w:rPr>
      <w:sz w:val="18"/>
    </w:rPr>
  </w:style>
  <w:style w:type="paragraph" w:customStyle="1" w:styleId="BodySmallRight">
    <w:name w:val="Body Small Right"/>
    <w:basedOn w:val="BodyTextRight"/>
    <w:rsid w:val="00765A2D"/>
    <w:rPr>
      <w:sz w:val="18"/>
      <w:szCs w:val="18"/>
    </w:rPr>
  </w:style>
  <w:style w:type="paragraph" w:customStyle="1" w:styleId="MarginEdition">
    <w:name w:val="Margin Edition"/>
    <w:basedOn w:val="MarginNote"/>
    <w:rsid w:val="00765A2D"/>
    <w:pPr>
      <w:spacing w:before="0" w:after="0"/>
    </w:pPr>
    <w:rPr>
      <w:rFonts w:ascii="Times New Roman" w:hAnsi="Times New Roman"/>
      <w:color w:val="999999"/>
    </w:rPr>
  </w:style>
  <w:style w:type="paragraph" w:customStyle="1" w:styleId="Spacer">
    <w:name w:val="Spacer"/>
    <w:basedOn w:val="Normal"/>
    <w:rsid w:val="00765A2D"/>
    <w:rPr>
      <w:sz w:val="2"/>
      <w:szCs w:val="2"/>
    </w:rPr>
  </w:style>
  <w:style w:type="character" w:customStyle="1" w:styleId="Small">
    <w:name w:val="Small"/>
    <w:basedOn w:val="DefaultParagraphFont"/>
    <w:rsid w:val="00765A2D"/>
    <w:rPr>
      <w:sz w:val="16"/>
    </w:rPr>
  </w:style>
  <w:style w:type="paragraph" w:customStyle="1" w:styleId="WideTable">
    <w:name w:val="Wide Table"/>
    <w:basedOn w:val="Normal"/>
    <w:rsid w:val="00765A2D"/>
    <w:pPr>
      <w:ind w:left="-1418"/>
    </w:pPr>
    <w:rPr>
      <w:sz w:val="2"/>
      <w:szCs w:val="2"/>
    </w:rPr>
  </w:style>
  <w:style w:type="character" w:styleId="PageNumber">
    <w:name w:val="page number"/>
    <w:basedOn w:val="DefaultParagraphFont"/>
    <w:rsid w:val="00765A2D"/>
  </w:style>
  <w:style w:type="paragraph" w:styleId="Quote">
    <w:name w:val="Quote"/>
    <w:basedOn w:val="Heading1"/>
    <w:link w:val="QuoteChar"/>
    <w:qFormat/>
    <w:rsid w:val="00765A2D"/>
    <w:rPr>
      <w:b w:val="0"/>
      <w:sz w:val="72"/>
      <w:szCs w:val="72"/>
      <w:lang w:val="en-NZ"/>
    </w:rPr>
  </w:style>
  <w:style w:type="character" w:customStyle="1" w:styleId="QuoteChar">
    <w:name w:val="Quote Char"/>
    <w:basedOn w:val="DefaultParagraphFont"/>
    <w:link w:val="Quote"/>
    <w:rsid w:val="00765A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5A2D"/>
    <w:pPr>
      <w:pageBreakBefore/>
    </w:pPr>
  </w:style>
  <w:style w:type="paragraph" w:customStyle="1" w:styleId="Border">
    <w:name w:val="Border"/>
    <w:basedOn w:val="Normal"/>
    <w:qFormat/>
    <w:rsid w:val="00765A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5A2D"/>
    <w:rPr>
      <w:b/>
      <w:bCs/>
      <w:i/>
      <w:iCs/>
      <w:color w:val="auto"/>
    </w:rPr>
  </w:style>
  <w:style w:type="paragraph" w:styleId="IntenseQuote">
    <w:name w:val="Intense Quote"/>
    <w:basedOn w:val="Normal"/>
    <w:next w:val="Normal"/>
    <w:link w:val="IntenseQuoteChar"/>
    <w:uiPriority w:val="30"/>
    <w:qFormat/>
    <w:rsid w:val="00765A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5A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5A2D"/>
    <w:rPr>
      <w:smallCaps/>
      <w:color w:val="auto"/>
      <w:u w:val="single"/>
    </w:rPr>
  </w:style>
  <w:style w:type="character" w:styleId="IntenseReference">
    <w:name w:val="Intense Reference"/>
    <w:basedOn w:val="DefaultParagraphFont"/>
    <w:uiPriority w:val="32"/>
    <w:qFormat/>
    <w:rsid w:val="00765A2D"/>
    <w:rPr>
      <w:b/>
      <w:bCs/>
      <w:smallCaps/>
      <w:color w:val="auto"/>
      <w:spacing w:val="5"/>
      <w:u w:val="single"/>
    </w:rPr>
  </w:style>
  <w:style w:type="paragraph" w:customStyle="1" w:styleId="2ColumnHeading">
    <w:name w:val="2Column Heading"/>
    <w:basedOn w:val="BodyText"/>
    <w:qFormat/>
    <w:rsid w:val="00765A2D"/>
    <w:pPr>
      <w:spacing w:after="60"/>
      <w:ind w:left="-2268"/>
    </w:pPr>
    <w:rPr>
      <w:b/>
    </w:rPr>
  </w:style>
  <w:style w:type="paragraph" w:customStyle="1" w:styleId="Heading1TOC">
    <w:name w:val="Heading1 TOC"/>
    <w:basedOn w:val="Normal"/>
    <w:qFormat/>
    <w:rsid w:val="00765A2D"/>
    <w:pPr>
      <w:spacing w:before="240" w:after="120"/>
    </w:pPr>
    <w:rPr>
      <w:rFonts w:ascii="Times New Roman" w:hAnsi="Times New Roman"/>
      <w:b/>
      <w:sz w:val="32"/>
    </w:rPr>
  </w:style>
  <w:style w:type="paragraph" w:customStyle="1" w:styleId="Heading2TOC">
    <w:name w:val="Heading2 TOC"/>
    <w:basedOn w:val="Normal"/>
    <w:qFormat/>
    <w:rsid w:val="00765A2D"/>
    <w:pPr>
      <w:spacing w:before="240" w:after="60"/>
    </w:pPr>
    <w:rPr>
      <w:rFonts w:ascii="Times New Roman" w:hAnsi="Times New Roman"/>
      <w:b/>
      <w:sz w:val="28"/>
    </w:rPr>
  </w:style>
  <w:style w:type="character" w:customStyle="1" w:styleId="Underline">
    <w:name w:val="Underline"/>
    <w:basedOn w:val="DefaultParagraphFont"/>
    <w:qFormat/>
    <w:rsid w:val="00765A2D"/>
    <w:rPr>
      <w:u w:val="single"/>
    </w:rPr>
  </w:style>
  <w:style w:type="character" w:customStyle="1" w:styleId="BoldandItalics">
    <w:name w:val="Bold and Italics"/>
    <w:qFormat/>
    <w:rsid w:val="00765A2D"/>
    <w:rPr>
      <w:b/>
      <w:i/>
      <w:u w:val="none"/>
    </w:rPr>
  </w:style>
  <w:style w:type="paragraph" w:styleId="BalloonText">
    <w:name w:val="Balloon Text"/>
    <w:basedOn w:val="Normal"/>
    <w:link w:val="BalloonTextChar"/>
    <w:rsid w:val="00765A2D"/>
    <w:rPr>
      <w:rFonts w:ascii="Tahoma" w:hAnsi="Tahoma" w:cs="Tahoma"/>
      <w:sz w:val="16"/>
      <w:szCs w:val="16"/>
    </w:rPr>
  </w:style>
  <w:style w:type="character" w:customStyle="1" w:styleId="BalloonTextChar">
    <w:name w:val="Balloon Text Char"/>
    <w:basedOn w:val="DefaultParagraphFont"/>
    <w:link w:val="BalloonText"/>
    <w:rsid w:val="00765A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5A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5A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5A2D"/>
    <w:rPr>
      <w:b/>
      <w:color w:val="660033"/>
      <w:spacing w:val="0"/>
    </w:rPr>
  </w:style>
  <w:style w:type="paragraph" w:customStyle="1" w:styleId="Nameditemlist">
    <w:name w:val="Named item list"/>
    <w:basedOn w:val="BodyText"/>
    <w:qFormat/>
    <w:rsid w:val="00765A2D"/>
    <w:pPr>
      <w:tabs>
        <w:tab w:val="left" w:pos="2835"/>
      </w:tabs>
      <w:ind w:left="2835" w:hanging="2835"/>
    </w:pPr>
  </w:style>
  <w:style w:type="paragraph" w:customStyle="1" w:styleId="BodyTextnopadding">
    <w:name w:val="Body Text no padding"/>
    <w:basedOn w:val="BodyText"/>
    <w:qFormat/>
    <w:rsid w:val="00765A2D"/>
    <w:pPr>
      <w:spacing w:before="0" w:after="0"/>
    </w:pPr>
  </w:style>
  <w:style w:type="character" w:styleId="Hyperlink">
    <w:name w:val="Hyperlink"/>
    <w:basedOn w:val="DefaultParagraphFont"/>
    <w:uiPriority w:val="99"/>
    <w:unhideWhenUsed/>
    <w:rsid w:val="001106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572</Words>
  <Characters>3974</Characters>
  <Application>Microsoft Office Word</Application>
  <DocSecurity>0</DocSecurity>
  <Lines>110</Lines>
  <Paragraphs>81</Paragraphs>
  <ScaleCrop>false</ScaleCrop>
  <Company>Author-it Software Corporation Ltd.</Company>
  <LinksUpToDate>false</LinksUpToDate>
  <CharactersWithSpaces>4465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AURETR040 Diagnose complex faults in vehicle monitoring and protection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2018-12-07T02:15:00Z</dcterms:created>
  <dcterms:modified xsi:type="dcterms:W3CDTF">2018-12-07T02:15:00Z</dcterms:modified>
</cp:coreProperties>
</file>