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517" w:rsidP="002E3517">
      <w:pPr>
        <w:pStyle w:val="Title"/>
      </w:pPr>
      <w:r>
        <w:fldChar w:fldCharType="begin"/>
      </w:r>
      <w:r>
        <w:instrText xml:space="preserve"> TITLE   \* MERGEFORMAT </w:instrText>
      </w:r>
      <w:r>
        <w:fldChar w:fldCharType="separate"/>
      </w:r>
      <w:r>
        <w:t>Assessment Requirements for AURETR031 Diagnose and repair ignition systems</w:t>
      </w:r>
      <w:r>
        <w:fldChar w:fldCharType="end"/>
      </w:r>
    </w:p>
    <w:p w:rsidR="002E3517" w:rsidP="002E3517">
      <w:pPr>
        <w:pStyle w:val="Version"/>
        <w:sectPr w:rsidSect="00EF00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016" w:rsidP="00EF0016">
      <w:pPr>
        <w:pStyle w:val="SuperHeading"/>
      </w:pPr>
      <w:r w:rsidRPr="00EF0016">
        <w:t>Assessment Requirements for AURETR031 Diagnose and repair ignition systems</w:t>
      </w:r>
    </w:p>
    <w:p w:rsidR="00000000" w:rsidRPr="00EF0016" w:rsidP="00EF0016">
      <w:pPr>
        <w:pStyle w:val="Heading1"/>
      </w:pPr>
      <w:bookmarkStart w:id="1" w:name="O_771482"/>
      <w:bookmarkEnd w:id="1"/>
      <w:r w:rsidRPr="00EF0016">
        <w:t>Modification History</w:t>
      </w:r>
    </w:p>
    <w:tbl>
      <w:tblPr>
        <w:tblW w:w="9639" w:type="dxa"/>
        <w:tblLayout w:type="fixed"/>
        <w:tblCellMar>
          <w:left w:w="62" w:type="dxa"/>
          <w:right w:w="62" w:type="dxa"/>
        </w:tblCellMar>
        <w:tblLook w:val="0000"/>
      </w:tblPr>
      <w:tblGrid>
        <w:gridCol w:w="2835"/>
        <w:gridCol w:w="6804"/>
      </w:tblGrid>
      <w:tr w:rsidTr="002E351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016" w:rsidP="00EF0016">
            <w:pPr>
              <w:pStyle w:val="BodyText"/>
            </w:pPr>
            <w:r w:rsidRPr="00EF001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016">
            <w:pPr>
              <w:pStyle w:val="BodyText"/>
              <w:rPr>
                <w:lang w:val="en-NZ"/>
              </w:rPr>
            </w:pPr>
            <w:r w:rsidRPr="00EF0016">
              <w:rPr>
                <w:rStyle w:val="SpecialBold"/>
              </w:rPr>
              <w:t>Comment</w:t>
            </w:r>
          </w:p>
        </w:tc>
      </w:tr>
      <w:tr w:rsidTr="002E351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016">
            <w:pPr>
              <w:pStyle w:val="BodyText"/>
              <w:rPr>
                <w:lang w:val="en-NZ"/>
              </w:rPr>
            </w:pPr>
            <w:r w:rsidRPr="00EF001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016" w:rsidP="00EF0016">
            <w:pPr>
              <w:pStyle w:val="BodyText"/>
            </w:pPr>
            <w:r w:rsidRPr="00EF0016">
              <w:t>New unit of competency.</w:t>
            </w:r>
          </w:p>
        </w:tc>
      </w:tr>
    </w:tbl>
    <w:p w:rsidR="00000000" w:rsidRPr="00EF0016" w:rsidP="00EF0016">
      <w:pPr>
        <w:pStyle w:val="BodyText"/>
      </w:pPr>
    </w:p>
    <w:p w:rsidR="00000000" w:rsidRPr="00EF0016" w:rsidP="00EF0016">
      <w:pPr>
        <w:pStyle w:val="AllowPageBreak"/>
      </w:pPr>
    </w:p>
    <w:p w:rsidR="00000000" w:rsidRPr="00EF0016" w:rsidP="00EF0016">
      <w:pPr>
        <w:pStyle w:val="Heading1"/>
      </w:pPr>
      <w:bookmarkStart w:id="2" w:name="O_771483"/>
      <w:bookmarkEnd w:id="2"/>
      <w:r w:rsidRPr="00EF0016">
        <w:t>Performance Evidence</w:t>
      </w:r>
    </w:p>
    <w:p w:rsidR="00000000" w:rsidRPr="00EF0016" w:rsidP="002E3517">
      <w:pPr>
        <w:pStyle w:val="BodyText"/>
      </w:pPr>
      <w:r w:rsidRPr="00EF0016">
        <w:t>Before competency can be determined, individuals must demonstrate they can perform the following according to the standard defined in the unit’s elements and performance criteria, range of conditions and foundation skills:</w:t>
      </w:r>
    </w:p>
    <w:p w:rsidR="00000000" w:rsidRPr="00EF0016" w:rsidP="00EF0016">
      <w:pPr>
        <w:pStyle w:val="ListBullet"/>
      </w:pPr>
      <w:r w:rsidRPr="00EF0016">
        <w:t>diagnose and repair a fault in t</w:t>
      </w:r>
      <w:r w:rsidRPr="00EF0016">
        <w:t>he ignition systems of two different vehicles, vessels or machinery, including faults in two of the following:</w:t>
      </w:r>
    </w:p>
    <w:p w:rsidR="00000000" w:rsidRPr="00EF0016" w:rsidP="00EF0016">
      <w:pPr>
        <w:pStyle w:val="ListBullet2"/>
      </w:pPr>
      <w:r w:rsidRPr="00EF0016">
        <w:t>magneto with contact points</w:t>
      </w:r>
    </w:p>
    <w:p w:rsidR="00000000" w:rsidRPr="00EF0016" w:rsidP="00EF0016">
      <w:pPr>
        <w:pStyle w:val="ListBullet2"/>
      </w:pPr>
      <w:r w:rsidRPr="00EF0016">
        <w:t>magneto with solid state trigger</w:t>
      </w:r>
    </w:p>
    <w:p w:rsidR="00000000" w:rsidRPr="00EF0016" w:rsidP="00EF0016">
      <w:pPr>
        <w:pStyle w:val="ListBullet2"/>
      </w:pPr>
      <w:r w:rsidRPr="00EF0016">
        <w:t>capacitive discharge ignition</w:t>
      </w:r>
    </w:p>
    <w:p w:rsidR="00000000" w:rsidRPr="00EF0016" w:rsidP="00EF0016">
      <w:pPr>
        <w:pStyle w:val="ListBullet2"/>
      </w:pPr>
      <w:r w:rsidRPr="00EF0016">
        <w:t>distributor with contact points</w:t>
      </w:r>
    </w:p>
    <w:p w:rsidR="00000000" w:rsidRPr="00EF0016" w:rsidP="00EF0016">
      <w:pPr>
        <w:pStyle w:val="ListBullet2"/>
      </w:pPr>
      <w:r w:rsidRPr="00EF0016">
        <w:t>distributor with hall effect sensor</w:t>
      </w:r>
    </w:p>
    <w:p w:rsidR="00000000" w:rsidRPr="00EF0016" w:rsidP="00EF0016">
      <w:pPr>
        <w:pStyle w:val="ListBullet2"/>
      </w:pPr>
      <w:r w:rsidRPr="00EF0016">
        <w:t>distributor with induction magnetic trigger</w:t>
      </w:r>
    </w:p>
    <w:p w:rsidR="00000000" w:rsidRPr="00EF0016" w:rsidP="00EF0016">
      <w:pPr>
        <w:pStyle w:val="ListBullet2"/>
      </w:pPr>
      <w:r w:rsidRPr="00EF0016">
        <w:t>distributor with optical sensor</w:t>
      </w:r>
    </w:p>
    <w:p w:rsidR="00000000" w:rsidRPr="00EF0016" w:rsidP="00EF0016">
      <w:pPr>
        <w:pStyle w:val="ListBullet2"/>
      </w:pPr>
      <w:r w:rsidRPr="00EF0016">
        <w:t xml:space="preserve">waste spark  </w:t>
      </w:r>
    </w:p>
    <w:p w:rsidR="00000000" w:rsidRPr="00EF0016" w:rsidP="00EF0016">
      <w:pPr>
        <w:pStyle w:val="ListBullet2"/>
      </w:pPr>
      <w:r w:rsidRPr="00EF0016">
        <w:t>coil on plug.</w:t>
      </w:r>
    </w:p>
    <w:p w:rsidR="00000000" w:rsidRPr="00EF0016" w:rsidP="00EF0016">
      <w:pPr>
        <w:pStyle w:val="AllowPageBreak"/>
      </w:pPr>
    </w:p>
    <w:p w:rsidR="00000000" w:rsidRPr="00EF0016" w:rsidP="00EF0016">
      <w:pPr>
        <w:pStyle w:val="Heading1"/>
      </w:pPr>
      <w:bookmarkStart w:id="3" w:name="O_771484"/>
      <w:bookmarkEnd w:id="3"/>
      <w:r w:rsidRPr="00EF0016">
        <w:t>Knowledge Evidence</w:t>
      </w:r>
    </w:p>
    <w:p w:rsidR="00000000" w:rsidRPr="00EF0016" w:rsidP="002E3517">
      <w:pPr>
        <w:pStyle w:val="BodyText"/>
      </w:pPr>
      <w:r w:rsidRPr="00EF0016">
        <w:t>Individuals must be able to demonstrate knowledge of:</w:t>
      </w:r>
    </w:p>
    <w:p w:rsidR="00000000" w:rsidRPr="00EF0016" w:rsidP="00EF0016">
      <w:pPr>
        <w:pStyle w:val="ListBullet"/>
      </w:pPr>
      <w:r w:rsidRPr="00EF0016">
        <w:t>work health and safety (W</w:t>
      </w:r>
      <w:r w:rsidRPr="00EF0016">
        <w:t>HS) and occupational health and safety (OHS) requirements relating to diagnosing and repairing ignition systems, including procedures for:</w:t>
      </w:r>
    </w:p>
    <w:p w:rsidR="00000000" w:rsidRPr="00EF0016" w:rsidP="00EF0016">
      <w:pPr>
        <w:pStyle w:val="ListBullet2"/>
      </w:pPr>
      <w:r w:rsidRPr="00EF0016">
        <w:t>using specialised tools and equipment</w:t>
      </w:r>
    </w:p>
    <w:p w:rsidR="00000000" w:rsidRPr="00EF0016" w:rsidP="00EF0016">
      <w:pPr>
        <w:pStyle w:val="ListBullet2"/>
      </w:pPr>
      <w:r w:rsidRPr="00EF0016">
        <w:t>using appropriate personal protective equipment (PPE)</w:t>
      </w:r>
    </w:p>
    <w:p w:rsidR="00000000" w:rsidRPr="00EF0016" w:rsidP="00EF0016">
      <w:pPr>
        <w:pStyle w:val="ListBullet2"/>
      </w:pPr>
      <w:r w:rsidRPr="00EF0016">
        <w:t>identifying hazards and controlling risks associated with:</w:t>
      </w:r>
    </w:p>
    <w:p w:rsidR="00000000" w:rsidRPr="00EF0016" w:rsidP="00EF0016">
      <w:pPr>
        <w:pStyle w:val="ListBullet3"/>
      </w:pPr>
      <w:r w:rsidRPr="00EF0016">
        <w:t>working on high voltage ignition systems</w:t>
      </w:r>
    </w:p>
    <w:p w:rsidR="00000000" w:rsidRPr="00EF0016" w:rsidP="00EF0016">
      <w:pPr>
        <w:pStyle w:val="ListBullet3"/>
      </w:pPr>
      <w:r w:rsidRPr="00EF0016">
        <w:t>wearing jewellery while working around high current wiring systems</w:t>
      </w:r>
    </w:p>
    <w:p w:rsidR="00000000" w:rsidRPr="00EF0016" w:rsidP="00EF0016">
      <w:pPr>
        <w:pStyle w:val="ListBullet"/>
      </w:pPr>
      <w:r w:rsidRPr="00EF0016">
        <w:t>operating principles of ignition systems and associated components, including:</w:t>
      </w:r>
    </w:p>
    <w:p w:rsidR="00000000" w:rsidRPr="00EF0016" w:rsidP="00EF0016">
      <w:pPr>
        <w:pStyle w:val="ListBullet2"/>
      </w:pPr>
      <w:r w:rsidRPr="00EF0016">
        <w:t>generat</w:t>
      </w:r>
      <w:r w:rsidRPr="00EF0016">
        <w:t>ing principles, including Faraday’s law and inducing an electromotive force (EMF)</w:t>
      </w:r>
    </w:p>
    <w:p w:rsidR="00000000" w:rsidRPr="00EF0016" w:rsidP="00EF0016">
      <w:pPr>
        <w:pStyle w:val="ListBullet"/>
      </w:pPr>
      <w:r w:rsidRPr="00EF0016">
        <w:t>application, purpose and operation of ignition systems and components, including:</w:t>
      </w:r>
    </w:p>
    <w:p w:rsidR="00000000" w:rsidRPr="00EF0016" w:rsidP="00EF0016">
      <w:pPr>
        <w:pStyle w:val="ListBullet2"/>
      </w:pPr>
      <w:r w:rsidRPr="00EF0016">
        <w:t>ignition coils, including:</w:t>
      </w:r>
    </w:p>
    <w:p w:rsidR="00000000" w:rsidRPr="00EF0016" w:rsidP="00EF0016">
      <w:pPr>
        <w:pStyle w:val="ListBullet3"/>
      </w:pPr>
      <w:r w:rsidRPr="00EF0016">
        <w:t>internal component function and operation: primary windings, iron core and secondary windings</w:t>
      </w:r>
    </w:p>
    <w:p w:rsidR="00000000" w:rsidRPr="00EF0016" w:rsidP="00EF0016">
      <w:pPr>
        <w:pStyle w:val="ListBullet3"/>
      </w:pPr>
      <w:r w:rsidRPr="00EF0016">
        <w:t>electromagnetic induction in the coil</w:t>
      </w:r>
    </w:p>
    <w:p w:rsidR="00000000" w:rsidRPr="00EF0016" w:rsidP="00EF0016">
      <w:pPr>
        <w:pStyle w:val="ListBullet3"/>
      </w:pPr>
      <w:r w:rsidRPr="00EF0016">
        <w:t>spark plugs: identification, thread size, reach, heat range, resistance-type plugs, and type and number of earth electrodes</w:t>
      </w:r>
    </w:p>
    <w:p w:rsidR="00000000" w:rsidRPr="00EF0016" w:rsidP="00EF0016">
      <w:pPr>
        <w:pStyle w:val="ListBullet3"/>
      </w:pPr>
      <w:r w:rsidRPr="00EF0016">
        <w:t>ignition leads</w:t>
      </w:r>
    </w:p>
    <w:p w:rsidR="00000000" w:rsidRPr="00EF0016" w:rsidP="00EF0016">
      <w:pPr>
        <w:pStyle w:val="ListBullet2"/>
      </w:pPr>
      <w:r w:rsidRPr="00EF0016">
        <w:t>Kettering ignition system, including:</w:t>
      </w:r>
    </w:p>
    <w:p w:rsidR="00000000" w:rsidRPr="00EF0016" w:rsidP="00EF0016">
      <w:pPr>
        <w:pStyle w:val="ListBullet3"/>
      </w:pPr>
      <w:r w:rsidRPr="00EF0016">
        <w:t>primary section: battery, ignition switch, ballast resistor, ignition coil primary windings, contact breaker point and capacitor</w:t>
      </w:r>
    </w:p>
    <w:p w:rsidR="00000000" w:rsidRPr="00EF0016" w:rsidP="00EF0016">
      <w:pPr>
        <w:pStyle w:val="ListBullet3"/>
      </w:pPr>
      <w:r w:rsidRPr="00EF0016">
        <w:t xml:space="preserve">secondary section: ignition </w:t>
      </w:r>
      <w:r w:rsidRPr="00EF0016">
        <w:t>coil secondary windings, coil high tension lead, rotor button and distributor cap, spark plug high tension leads and spark plugs</w:t>
      </w:r>
    </w:p>
    <w:p w:rsidR="00000000" w:rsidRPr="00EF0016" w:rsidP="00EF0016">
      <w:pPr>
        <w:pStyle w:val="ListBullet3"/>
      </w:pPr>
      <w:r w:rsidRPr="00EF0016">
        <w:t>firing order</w:t>
      </w:r>
    </w:p>
    <w:p w:rsidR="00000000" w:rsidRPr="00EF0016" w:rsidP="00EF0016">
      <w:pPr>
        <w:pStyle w:val="ListBullet3"/>
      </w:pPr>
      <w:r w:rsidRPr="00EF0016">
        <w:t>ignition timing and methods of varying timing according to engine load and speed</w:t>
      </w:r>
    </w:p>
    <w:p w:rsidR="00000000" w:rsidRPr="00EF0016" w:rsidP="00EF0016">
      <w:pPr>
        <w:pStyle w:val="ListBullet2"/>
      </w:pPr>
      <w:r w:rsidRPr="00EF0016">
        <w:t>electronic ignition systems, inc</w:t>
      </w:r>
      <w:r w:rsidRPr="00EF0016">
        <w:t>luding:</w:t>
      </w:r>
    </w:p>
    <w:p w:rsidR="00000000" w:rsidRPr="00EF0016" w:rsidP="00EF0016">
      <w:pPr>
        <w:pStyle w:val="ListBullet3"/>
      </w:pPr>
      <w:r w:rsidRPr="00EF0016">
        <w:t>pulse generator systems: stator and rotor units, ignition control units, current limiting and dwell control</w:t>
      </w:r>
    </w:p>
    <w:p w:rsidR="00000000" w:rsidRPr="00EF0016" w:rsidP="00EF0016">
      <w:pPr>
        <w:pStyle w:val="ListBullet3"/>
      </w:pPr>
      <w:r w:rsidRPr="00EF0016">
        <w:t>Hall effect systems: Hall effect device, and permanent magnet and signal waveform</w:t>
      </w:r>
    </w:p>
    <w:p w:rsidR="00000000" w:rsidRPr="00EF0016" w:rsidP="00EF0016">
      <w:pPr>
        <w:pStyle w:val="ListBullet3"/>
      </w:pPr>
      <w:r w:rsidRPr="00EF0016">
        <w:t>optical ignition systems: light emitting diodes (LEDs), r</w:t>
      </w:r>
      <w:r w:rsidRPr="00EF0016">
        <w:t>otating disc and optical electronic semiconductors</w:t>
      </w:r>
    </w:p>
    <w:p w:rsidR="00000000" w:rsidRPr="00EF0016" w:rsidP="00EF0016">
      <w:pPr>
        <w:pStyle w:val="ListBullet2"/>
      </w:pPr>
      <w:r w:rsidRPr="00EF0016">
        <w:t>magneto ignition systems: shuttle and inductor magnetos, and energy transfer ignition systems</w:t>
      </w:r>
    </w:p>
    <w:p w:rsidR="00000000" w:rsidRPr="00EF0016" w:rsidP="00EF0016">
      <w:pPr>
        <w:pStyle w:val="ListBullet2"/>
      </w:pPr>
      <w:r w:rsidRPr="00EF0016">
        <w:t xml:space="preserve">capacitive discharge ignition (CDI) systems: </w:t>
      </w:r>
    </w:p>
    <w:p w:rsidR="00000000" w:rsidRPr="00EF0016" w:rsidP="00EF0016">
      <w:pPr>
        <w:pStyle w:val="ListBullet3"/>
      </w:pPr>
      <w:r w:rsidRPr="00EF0016">
        <w:t>transformer, charging circuit, triggering circuit, main capacit</w:t>
      </w:r>
      <w:r w:rsidRPr="00EF0016">
        <w:t>or and rectifier</w:t>
      </w:r>
    </w:p>
    <w:p w:rsidR="00000000" w:rsidRPr="00EF0016" w:rsidP="00EF0016">
      <w:pPr>
        <w:pStyle w:val="ListBullet3"/>
      </w:pPr>
      <w:r w:rsidRPr="00EF0016">
        <w:t>alternating current CDI</w:t>
      </w:r>
    </w:p>
    <w:p w:rsidR="00000000" w:rsidRPr="00EF0016" w:rsidP="00EF0016">
      <w:pPr>
        <w:pStyle w:val="ListBullet3"/>
      </w:pPr>
      <w:r w:rsidRPr="00EF0016">
        <w:t>direct current CDI</w:t>
      </w:r>
    </w:p>
    <w:p w:rsidR="00000000" w:rsidRPr="00EF0016" w:rsidP="00EF0016">
      <w:pPr>
        <w:pStyle w:val="ListBullet2"/>
      </w:pPr>
      <w:r w:rsidRPr="00EF0016">
        <w:t>waste spark ignition systems</w:t>
      </w:r>
    </w:p>
    <w:p w:rsidR="00000000" w:rsidRPr="00EF0016" w:rsidP="00EF0016">
      <w:pPr>
        <w:pStyle w:val="ListBullet2"/>
      </w:pPr>
      <w:r w:rsidRPr="00EF0016">
        <w:t>coil on plug ignition systems</w:t>
      </w:r>
    </w:p>
    <w:p w:rsidR="00000000" w:rsidRPr="00EF0016" w:rsidP="00EF0016">
      <w:pPr>
        <w:pStyle w:val="ListBullet"/>
      </w:pPr>
      <w:r w:rsidRPr="00EF0016">
        <w:t>diagnostic testing procedures for ignition systems, including:</w:t>
      </w:r>
    </w:p>
    <w:p w:rsidR="00000000" w:rsidRPr="00EF0016" w:rsidP="00EF0016">
      <w:pPr>
        <w:pStyle w:val="ListBullet2"/>
      </w:pPr>
      <w:r w:rsidRPr="00EF0016">
        <w:t>using diagnostic flow charts</w:t>
      </w:r>
    </w:p>
    <w:p w:rsidR="00000000" w:rsidRPr="00EF0016" w:rsidP="00EF0016">
      <w:pPr>
        <w:pStyle w:val="ListBullet2"/>
      </w:pPr>
      <w:r w:rsidRPr="00EF0016">
        <w:t>testing electrical systems, including procedures for:</w:t>
      </w:r>
    </w:p>
    <w:p w:rsidR="00000000" w:rsidRPr="00EF0016" w:rsidP="00EF0016">
      <w:pPr>
        <w:pStyle w:val="ListBullet3"/>
      </w:pPr>
      <w:r w:rsidRPr="00EF0016">
        <w:t>accessing electrical terminals and using test probes without damaging connectors, fuse holders or wiring</w:t>
      </w:r>
    </w:p>
    <w:p w:rsidR="00000000" w:rsidRPr="00EF0016" w:rsidP="00EF0016">
      <w:pPr>
        <w:pStyle w:val="ListBullet3"/>
      </w:pPr>
      <w:r w:rsidRPr="00EF0016">
        <w:t>checking resistance, current flow and voltage drop of ignition system circuits</w:t>
      </w:r>
    </w:p>
    <w:p w:rsidR="00000000" w:rsidRPr="00EF0016" w:rsidP="00EF0016">
      <w:pPr>
        <w:pStyle w:val="ListBullet3"/>
      </w:pPr>
      <w:r w:rsidRPr="00EF0016">
        <w:t xml:space="preserve">testing ignition </w:t>
      </w:r>
      <w:r w:rsidRPr="00EF0016">
        <w:t>coils</w:t>
      </w:r>
    </w:p>
    <w:p w:rsidR="00000000" w:rsidRPr="00EF0016" w:rsidP="00EF0016">
      <w:pPr>
        <w:pStyle w:val="ListBullet2"/>
      </w:pPr>
      <w:r w:rsidRPr="00EF0016">
        <w:t>using oscilloscopes, including interpreting ignition system primary and secondary waveforms</w:t>
      </w:r>
    </w:p>
    <w:p w:rsidR="00000000" w:rsidRPr="00EF0016" w:rsidP="00EF0016">
      <w:pPr>
        <w:pStyle w:val="ListBullet"/>
      </w:pPr>
      <w:r w:rsidRPr="00EF0016">
        <w:t>repair procedures for ignition systems, including:</w:t>
      </w:r>
    </w:p>
    <w:p w:rsidR="00000000" w:rsidRPr="00EF0016" w:rsidP="00EF0016">
      <w:pPr>
        <w:pStyle w:val="ListBullet2"/>
      </w:pPr>
      <w:r w:rsidRPr="00EF0016">
        <w:t>removing and replacing faulty or damaged components</w:t>
      </w:r>
    </w:p>
    <w:p w:rsidR="00000000" w:rsidRPr="00EF0016" w:rsidP="00EF0016">
      <w:pPr>
        <w:pStyle w:val="ListBullet2"/>
      </w:pPr>
      <w:r w:rsidRPr="00EF0016">
        <w:t>setting contact breaker gap and checking dwell</w:t>
      </w:r>
    </w:p>
    <w:p w:rsidR="00000000" w:rsidRPr="00EF0016" w:rsidP="00EF0016">
      <w:pPr>
        <w:pStyle w:val="ListBullet2"/>
      </w:pPr>
      <w:r w:rsidRPr="00EF0016">
        <w:t>adjusting ignition system timing</w:t>
      </w:r>
    </w:p>
    <w:p w:rsidR="00000000" w:rsidRPr="00EF0016" w:rsidP="00EF0016">
      <w:pPr>
        <w:pStyle w:val="ListBullet2"/>
      </w:pPr>
      <w:r w:rsidRPr="00EF0016">
        <w:t xml:space="preserve">removing, replacing and re-timing distributors </w:t>
      </w:r>
    </w:p>
    <w:p w:rsidR="00000000" w:rsidRPr="00EF0016" w:rsidP="00EF0016">
      <w:pPr>
        <w:pStyle w:val="ListBullet"/>
      </w:pPr>
      <w:r w:rsidRPr="00EF0016">
        <w:t xml:space="preserve">post-repair testing procedures for ignition systems, including static and dynamic performance tests of ignition systems. </w:t>
      </w:r>
    </w:p>
    <w:p w:rsidR="00000000" w:rsidRPr="00EF0016" w:rsidP="00EF0016">
      <w:pPr>
        <w:pStyle w:val="AllowPageBreak"/>
      </w:pPr>
    </w:p>
    <w:p w:rsidR="00000000" w:rsidRPr="00EF0016" w:rsidP="00EF0016">
      <w:pPr>
        <w:pStyle w:val="Heading1"/>
      </w:pPr>
      <w:bookmarkStart w:id="4" w:name="O_771485"/>
      <w:bookmarkEnd w:id="4"/>
      <w:r w:rsidRPr="00EF0016">
        <w:t>Assessment Conditions</w:t>
      </w:r>
    </w:p>
    <w:p w:rsidR="00000000" w:rsidRPr="00EF0016" w:rsidP="002E3517">
      <w:pPr>
        <w:pStyle w:val="BodyText"/>
      </w:pPr>
      <w:r w:rsidRPr="00EF0016">
        <w:t>Assessors mus</w:t>
      </w:r>
      <w:r w:rsidRPr="00EF0016">
        <w:t>t satisfy NVR/AQTF assessor requirements.</w:t>
      </w:r>
    </w:p>
    <w:p w:rsidR="00000000" w:rsidRPr="00EF0016" w:rsidP="002E3517">
      <w:pPr>
        <w:pStyle w:val="BodyText"/>
      </w:pPr>
      <w:r w:rsidRPr="00EF0016">
        <w:t>Competency is to be assessed in the workplace or a simulated environment that accurately reflects performance in a real workplace setting.</w:t>
      </w:r>
    </w:p>
    <w:p w:rsidR="00000000" w:rsidRPr="00EF0016" w:rsidP="002E3517">
      <w:pPr>
        <w:pStyle w:val="BodyText"/>
      </w:pPr>
      <w:r w:rsidRPr="00EF0016">
        <w:t>Assessment must include direct observation of tasks.</w:t>
      </w:r>
    </w:p>
    <w:p w:rsidR="00000000" w:rsidRPr="00EF0016" w:rsidP="002E3517">
      <w:pPr>
        <w:pStyle w:val="BodyText"/>
      </w:pPr>
      <w:r w:rsidRPr="00EF0016">
        <w:t>Where assessment of competency includes third-party evidence, individuals must provide evidence that links them to the ignition systems that they have worked on, e.g. repair orders.</w:t>
      </w:r>
    </w:p>
    <w:p w:rsidR="00000000" w:rsidRPr="00EF0016" w:rsidP="002E3517">
      <w:pPr>
        <w:pStyle w:val="BodyText"/>
      </w:pPr>
      <w:r w:rsidRPr="00EF0016">
        <w:t xml:space="preserve">Assessors must verify performance evidence through questioning on skills </w:t>
      </w:r>
      <w:r w:rsidRPr="00EF0016">
        <w:t>and knowledge to ensure correct interpretation and application.</w:t>
      </w:r>
    </w:p>
    <w:p w:rsidR="00000000" w:rsidRPr="00EF0016" w:rsidP="002E3517">
      <w:pPr>
        <w:pStyle w:val="BodyText"/>
      </w:pPr>
      <w:r w:rsidRPr="00EF0016">
        <w:t>The following resources must be made available:</w:t>
      </w:r>
    </w:p>
    <w:p w:rsidR="00000000" w:rsidRPr="00EF0016" w:rsidP="00EF0016">
      <w:pPr>
        <w:pStyle w:val="ListBullet"/>
      </w:pPr>
      <w:r w:rsidRPr="00EF0016">
        <w:t>automotive repair workplace or simulated workplace</w:t>
      </w:r>
    </w:p>
    <w:p w:rsidR="00000000" w:rsidRPr="00EF0016" w:rsidP="00EF0016">
      <w:pPr>
        <w:pStyle w:val="ListBullet"/>
      </w:pPr>
      <w:r w:rsidRPr="00EF0016">
        <w:t>workplace instructions</w:t>
      </w:r>
    </w:p>
    <w:p w:rsidR="00000000" w:rsidRPr="00EF0016" w:rsidP="00EF0016">
      <w:pPr>
        <w:pStyle w:val="ListBullet"/>
      </w:pPr>
      <w:r w:rsidRPr="00EF0016">
        <w:t>manufacturer ignition system specifications</w:t>
      </w:r>
    </w:p>
    <w:p w:rsidR="00000000" w:rsidRPr="00EF0016" w:rsidP="00EF0016">
      <w:pPr>
        <w:pStyle w:val="ListBullet"/>
      </w:pPr>
      <w:r w:rsidRPr="00EF0016">
        <w:t xml:space="preserve">two different vehicles, </w:t>
      </w:r>
      <w:r w:rsidRPr="00EF0016">
        <w:t>vessels or machinery with ignition system faults</w:t>
      </w:r>
    </w:p>
    <w:p w:rsidR="00000000" w:rsidRPr="00EF0016" w:rsidP="00EF0016">
      <w:pPr>
        <w:pStyle w:val="ListBullet"/>
      </w:pPr>
      <w:r w:rsidRPr="00EF0016">
        <w:t>diagnostic equipment for ignition systems, including:</w:t>
      </w:r>
    </w:p>
    <w:p w:rsidR="00000000" w:rsidRPr="00EF0016" w:rsidP="00EF0016">
      <w:pPr>
        <w:pStyle w:val="ListBullet2"/>
      </w:pPr>
      <w:r w:rsidRPr="00EF0016">
        <w:t>multimeter</w:t>
      </w:r>
    </w:p>
    <w:p w:rsidR="00000000" w:rsidRPr="00EF0016" w:rsidP="00EF0016">
      <w:pPr>
        <w:pStyle w:val="ListBullet2"/>
      </w:pPr>
      <w:r w:rsidRPr="00EF0016">
        <w:t>scan tool</w:t>
      </w:r>
    </w:p>
    <w:p w:rsidR="00000000" w:rsidRPr="00EF0016" w:rsidP="00EF0016">
      <w:pPr>
        <w:pStyle w:val="ListBullet2"/>
      </w:pPr>
      <w:r w:rsidRPr="00EF0016">
        <w:t>oscilloscope</w:t>
      </w:r>
    </w:p>
    <w:p w:rsidR="00000000" w:rsidRPr="00EF0016" w:rsidP="00EF0016">
      <w:pPr>
        <w:pStyle w:val="ListBullet"/>
      </w:pPr>
      <w:r w:rsidRPr="00EF0016">
        <w:t>tools, equipment and materials appropriate for repairing vehicle, vessel or machinery ignition systems.</w:t>
      </w:r>
    </w:p>
    <w:p w:rsidR="00000000" w:rsidRPr="00EF0016" w:rsidP="00EF0016">
      <w:pPr>
        <w:pStyle w:val="AllowPageBreak"/>
      </w:pPr>
    </w:p>
    <w:p w:rsidR="00000000" w:rsidRPr="00EF0016" w:rsidP="00EF0016">
      <w:pPr>
        <w:pStyle w:val="Heading1"/>
      </w:pPr>
      <w:bookmarkStart w:id="5" w:name="O_771488"/>
      <w:bookmarkEnd w:id="5"/>
      <w:r w:rsidRPr="00EF0016">
        <w:t>Links</w:t>
      </w:r>
    </w:p>
    <w:p w:rsidR="00000000" w:rsidRPr="00EF0016" w:rsidP="002E3517">
      <w:pPr>
        <w:pStyle w:val="BodyText"/>
      </w:pPr>
      <w:r w:rsidRPr="00EF001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D29BA">
        <w:rPr>
          <w:rStyle w:val="Hyperlink"/>
        </w:rPr>
        <w:t>https://vetnet.education.gov.au/Pages/TrainingDocs.aspx?q=b4278d82-d487-4070-a8c4-78045ec695b1</w:t>
      </w:r>
      <w:r>
        <w:fldChar w:fldCharType="end"/>
      </w:r>
    </w:p>
    <w:p w:rsidR="00000000" w:rsidRPr="00EF0016" w:rsidP="002E3517">
      <w:pPr>
        <w:pStyle w:val="BodyText"/>
      </w:pPr>
      <w:r w:rsidRPr="00EF001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D29BA">
        <w:rPr>
          <w:rStyle w:val="Hyperlink"/>
        </w:rPr>
        <w:t>https://vetnet.education.gov.au/Pages/TrainingDocs.aspx?q=b4278d82-d487-4070-a8c4-78045ec695b1</w:t>
      </w:r>
      <w:r>
        <w:fldChar w:fldCharType="end"/>
      </w:r>
    </w:p>
    <w:p w:rsidR="00000000" w:rsidRPr="00EF0016" w:rsidP="00EF0016"/>
    <w:sectPr w:rsidSect="00EF00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6" w:rsidRPr="002E3517" w:rsidP="002E3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517" w:rsidP="00EF0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E3517" w:rsidP="00EF001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E3517" w:rsidP="00EF00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016" w:rsidRPr="002E3517" w:rsidP="002E3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517" w:rsidRPr="002D2AF8" w:rsidP="00EF0016">
    <w:pPr>
      <w:pStyle w:val="Header"/>
      <w:framePr w:wrap="around"/>
    </w:pPr>
    <w:r>
      <w:fldChar w:fldCharType="begin"/>
    </w:r>
    <w:r>
      <w:instrText xml:space="preserve"> TITLE   \* MERGEFORMAT </w:instrText>
    </w:r>
    <w:r>
      <w:fldChar w:fldCharType="separate"/>
    </w:r>
    <w:r>
      <w:t>Assessment Requirements for AURETR031 Diagnose and repair ignition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E3517" w:rsidP="00EF00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69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EC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AF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0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016"/>
    <w:pPr>
      <w:spacing w:before="360" w:after="60"/>
      <w:outlineLvl w:val="0"/>
    </w:pPr>
    <w:rPr>
      <w:sz w:val="32"/>
    </w:rPr>
  </w:style>
  <w:style w:type="paragraph" w:styleId="Heading2">
    <w:name w:val="heading 2"/>
    <w:basedOn w:val="HeadingBase"/>
    <w:next w:val="BodyText"/>
    <w:link w:val="Heading2Char"/>
    <w:qFormat/>
    <w:rsid w:val="00EF0016"/>
    <w:pPr>
      <w:keepLines/>
      <w:spacing w:before="240" w:after="120"/>
      <w:outlineLvl w:val="1"/>
    </w:pPr>
    <w:rPr>
      <w:sz w:val="28"/>
      <w:szCs w:val="40"/>
    </w:rPr>
  </w:style>
  <w:style w:type="paragraph" w:styleId="Heading3">
    <w:name w:val="heading 3"/>
    <w:basedOn w:val="HeadingBase"/>
    <w:next w:val="BodyText"/>
    <w:link w:val="Heading3Char"/>
    <w:qFormat/>
    <w:rsid w:val="00EF0016"/>
    <w:pPr>
      <w:spacing w:before="180" w:after="120"/>
      <w:outlineLvl w:val="2"/>
    </w:pPr>
    <w:rPr>
      <w:spacing w:val="-10"/>
      <w:kern w:val="32"/>
    </w:rPr>
  </w:style>
  <w:style w:type="paragraph" w:styleId="Heading4">
    <w:name w:val="heading 4"/>
    <w:basedOn w:val="HeadingBase"/>
    <w:next w:val="BodyText"/>
    <w:link w:val="Heading4Char"/>
    <w:qFormat/>
    <w:rsid w:val="00EF0016"/>
    <w:pPr>
      <w:spacing w:before="160" w:after="120"/>
      <w:outlineLvl w:val="3"/>
    </w:pPr>
    <w:rPr>
      <w:sz w:val="22"/>
    </w:rPr>
  </w:style>
  <w:style w:type="paragraph" w:styleId="Heading5">
    <w:name w:val="heading 5"/>
    <w:basedOn w:val="HeadingBase"/>
    <w:next w:val="Normal"/>
    <w:link w:val="Heading5Char"/>
    <w:qFormat/>
    <w:rsid w:val="00EF0016"/>
    <w:pPr>
      <w:spacing w:before="80"/>
      <w:outlineLvl w:val="4"/>
    </w:pPr>
    <w:rPr>
      <w:color w:val="918585"/>
      <w:sz w:val="20"/>
    </w:rPr>
  </w:style>
  <w:style w:type="paragraph" w:styleId="Heading6">
    <w:name w:val="heading 6"/>
    <w:basedOn w:val="HeadingBase"/>
    <w:next w:val="Normal"/>
    <w:link w:val="Heading6Char"/>
    <w:qFormat/>
    <w:rsid w:val="00EF0016"/>
    <w:pPr>
      <w:spacing w:before="60"/>
      <w:outlineLvl w:val="5"/>
    </w:pPr>
    <w:rPr>
      <w:color w:val="918585"/>
      <w:sz w:val="20"/>
    </w:rPr>
  </w:style>
  <w:style w:type="paragraph" w:styleId="Heading7">
    <w:name w:val="heading 7"/>
    <w:basedOn w:val="Normal"/>
    <w:next w:val="Normal"/>
    <w:link w:val="Heading7Char"/>
    <w:qFormat/>
    <w:rsid w:val="00EF0016"/>
    <w:pPr>
      <w:ind w:left="720"/>
      <w:outlineLvl w:val="6"/>
    </w:pPr>
    <w:rPr>
      <w:i/>
    </w:rPr>
  </w:style>
  <w:style w:type="paragraph" w:styleId="Heading8">
    <w:name w:val="heading 8"/>
    <w:basedOn w:val="Normal"/>
    <w:next w:val="Normal"/>
    <w:link w:val="Heading8Char"/>
    <w:qFormat/>
    <w:rsid w:val="00EF0016"/>
    <w:pPr>
      <w:ind w:left="720"/>
      <w:outlineLvl w:val="7"/>
    </w:pPr>
    <w:rPr>
      <w:i/>
    </w:rPr>
  </w:style>
  <w:style w:type="paragraph" w:styleId="Heading9">
    <w:name w:val="heading 9"/>
    <w:basedOn w:val="Normal"/>
    <w:next w:val="Normal"/>
    <w:link w:val="Heading9Char"/>
    <w:qFormat/>
    <w:rsid w:val="00EF0016"/>
    <w:pPr>
      <w:ind w:left="720"/>
      <w:outlineLvl w:val="8"/>
    </w:pPr>
    <w:rPr>
      <w:i/>
    </w:rPr>
  </w:style>
  <w:style w:type="character" w:default="1" w:styleId="DefaultParagraphFont">
    <w:name w:val="Default Paragraph Font"/>
    <w:uiPriority w:val="1"/>
    <w:unhideWhenUsed/>
    <w:rsid w:val="00EF0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016"/>
  </w:style>
  <w:style w:type="character" w:customStyle="1" w:styleId="Heading1Char">
    <w:name w:val="Heading 1 Char"/>
    <w:basedOn w:val="DefaultParagraphFont"/>
    <w:link w:val="Heading1"/>
    <w:rsid w:val="00EF0016"/>
    <w:rPr>
      <w:rFonts w:ascii="Times New Roman" w:eastAsia="Times New Roman" w:hAnsi="Times New Roman" w:cs="Times New Roman"/>
      <w:b/>
      <w:sz w:val="32"/>
      <w:szCs w:val="20"/>
      <w:lang w:eastAsia="en-US"/>
    </w:rPr>
  </w:style>
  <w:style w:type="paragraph" w:styleId="BodyText">
    <w:name w:val="Body Text"/>
    <w:basedOn w:val="Normal"/>
    <w:link w:val="BodyTextChar"/>
    <w:rsid w:val="00EF00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016"/>
    <w:rPr>
      <w:rFonts w:ascii="Times New Roman" w:eastAsia="Times New Roman" w:hAnsi="Times New Roman" w:cs="Times New Roman"/>
      <w:sz w:val="24"/>
      <w:lang w:eastAsia="en-US"/>
    </w:rPr>
  </w:style>
  <w:style w:type="paragraph" w:styleId="ListBullet">
    <w:name w:val="List Bullet"/>
    <w:basedOn w:val="List"/>
    <w:rsid w:val="00EF0016"/>
    <w:pPr>
      <w:numPr>
        <w:numId w:val="14"/>
      </w:numPr>
      <w:tabs>
        <w:tab w:val="clear" w:pos="340"/>
      </w:tabs>
      <w:spacing w:before="40" w:after="40"/>
    </w:pPr>
  </w:style>
  <w:style w:type="character" w:customStyle="1" w:styleId="SpecialBold">
    <w:name w:val="Special Bold"/>
    <w:basedOn w:val="DefaultParagraphFont"/>
    <w:rsid w:val="00EF0016"/>
    <w:rPr>
      <w:b/>
      <w:spacing w:val="0"/>
    </w:rPr>
  </w:style>
  <w:style w:type="paragraph" w:styleId="ListBullet2">
    <w:name w:val="List Bullet 2"/>
    <w:basedOn w:val="List2"/>
    <w:rsid w:val="00EF0016"/>
    <w:pPr>
      <w:numPr>
        <w:numId w:val="15"/>
      </w:numPr>
      <w:tabs>
        <w:tab w:val="clear" w:pos="680"/>
      </w:tabs>
    </w:pPr>
  </w:style>
  <w:style w:type="paragraph" w:customStyle="1" w:styleId="SuperHeading">
    <w:name w:val="SuperHeading"/>
    <w:basedOn w:val="Normal"/>
    <w:rsid w:val="00EF0016"/>
    <w:pPr>
      <w:spacing w:before="240" w:after="120"/>
      <w:outlineLvl w:val="0"/>
    </w:pPr>
    <w:rPr>
      <w:rFonts w:ascii="Times New Roman" w:hAnsi="Times New Roman"/>
      <w:b/>
      <w:sz w:val="32"/>
    </w:rPr>
  </w:style>
  <w:style w:type="paragraph" w:customStyle="1" w:styleId="AllowPageBreak">
    <w:name w:val="AllowPageBreak"/>
    <w:rsid w:val="00EF00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0016"/>
    <w:pPr>
      <w:numPr>
        <w:numId w:val="3"/>
      </w:numPr>
      <w:tabs>
        <w:tab w:val="clear" w:pos="1021"/>
      </w:tabs>
      <w:ind w:left="1037" w:hanging="357"/>
    </w:pPr>
  </w:style>
  <w:style w:type="character" w:customStyle="1" w:styleId="Heading2Char">
    <w:name w:val="Heading 2 Char"/>
    <w:basedOn w:val="DefaultParagraphFont"/>
    <w:link w:val="Heading2"/>
    <w:rsid w:val="00EF0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0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0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016"/>
    <w:rPr>
      <w:rFonts w:ascii="Courier New" w:eastAsia="Times New Roman" w:hAnsi="Courier New" w:cs="Times New Roman"/>
      <w:i/>
      <w:szCs w:val="20"/>
      <w:lang w:eastAsia="en-US"/>
    </w:rPr>
  </w:style>
  <w:style w:type="paragraph" w:customStyle="1" w:styleId="HeadingBase">
    <w:name w:val="Heading Base"/>
    <w:rsid w:val="00EF0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016"/>
    <w:pPr>
      <w:tabs>
        <w:tab w:val="right" w:leader="dot" w:pos="9072"/>
      </w:tabs>
      <w:ind w:left="567"/>
    </w:pPr>
    <w:rPr>
      <w:szCs w:val="22"/>
    </w:rPr>
  </w:style>
  <w:style w:type="paragraph" w:customStyle="1" w:styleId="TOCBase">
    <w:name w:val="TOC Base"/>
    <w:rsid w:val="00EF0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016"/>
    <w:pPr>
      <w:tabs>
        <w:tab w:val="right" w:leader="dot" w:pos="9072"/>
      </w:tabs>
      <w:spacing w:before="40" w:after="40"/>
      <w:ind w:left="284"/>
    </w:pPr>
    <w:rPr>
      <w:rFonts w:ascii="Times New Roman" w:hAnsi="Times New Roman"/>
    </w:rPr>
  </w:style>
  <w:style w:type="paragraph" w:styleId="TOC1">
    <w:name w:val="toc 1"/>
    <w:basedOn w:val="TOCBase"/>
    <w:next w:val="Normal"/>
    <w:rsid w:val="00EF00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016"/>
    <w:rPr>
      <w:rFonts w:ascii="Times New Roman" w:eastAsia="Times New Roman" w:hAnsi="Times New Roman" w:cs="Times New Roman"/>
      <w:sz w:val="16"/>
      <w:lang w:eastAsia="en-US"/>
    </w:rPr>
  </w:style>
  <w:style w:type="paragraph" w:styleId="Title">
    <w:name w:val="Title"/>
    <w:basedOn w:val="HeadingBase"/>
    <w:link w:val="TitleChar"/>
    <w:qFormat/>
    <w:rsid w:val="00EF0016"/>
    <w:pPr>
      <w:spacing w:before="5040"/>
      <w:jc w:val="center"/>
    </w:pPr>
    <w:rPr>
      <w:sz w:val="48"/>
      <w:szCs w:val="72"/>
      <w:lang w:val="en-US"/>
    </w:rPr>
  </w:style>
  <w:style w:type="character" w:customStyle="1" w:styleId="TitleChar">
    <w:name w:val="Title Char"/>
    <w:basedOn w:val="DefaultParagraphFont"/>
    <w:link w:val="Title"/>
    <w:rsid w:val="00EF0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016"/>
    <w:pPr>
      <w:tabs>
        <w:tab w:val="left" w:pos="3600"/>
        <w:tab w:val="left" w:pos="3958"/>
      </w:tabs>
    </w:pPr>
  </w:style>
  <w:style w:type="paragraph" w:styleId="List">
    <w:name w:val="List"/>
    <w:basedOn w:val="BodyText"/>
    <w:next w:val="BodyText"/>
    <w:rsid w:val="00EF0016"/>
    <w:pPr>
      <w:tabs>
        <w:tab w:val="left" w:pos="340"/>
      </w:tabs>
      <w:spacing w:before="60" w:after="60"/>
      <w:ind w:left="340" w:hanging="340"/>
    </w:pPr>
  </w:style>
  <w:style w:type="paragraph" w:customStyle="1" w:styleId="Note">
    <w:name w:val="Note"/>
    <w:basedOn w:val="BodyText"/>
    <w:rsid w:val="00EF0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016"/>
    <w:pPr>
      <w:framePr w:wrap="auto" w:hAnchor="text" w:y="6049"/>
    </w:pPr>
    <w:rPr>
      <w:color w:val="000000"/>
      <w:sz w:val="40"/>
    </w:rPr>
  </w:style>
  <w:style w:type="paragraph" w:customStyle="1" w:styleId="TOCTitle">
    <w:name w:val="TOCTitle"/>
    <w:basedOn w:val="Heading1"/>
    <w:rsid w:val="00EF0016"/>
    <w:pPr>
      <w:spacing w:after="240"/>
      <w:jc w:val="center"/>
      <w:outlineLvl w:val="9"/>
    </w:pPr>
    <w:rPr>
      <w:caps/>
    </w:rPr>
  </w:style>
  <w:style w:type="paragraph" w:customStyle="1" w:styleId="Version">
    <w:name w:val="Version"/>
    <w:rsid w:val="00EF0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016"/>
    <w:pPr>
      <w:keepNext w:val="0"/>
      <w:tabs>
        <w:tab w:val="right" w:pos="4176"/>
      </w:tabs>
      <w:ind w:left="198" w:hanging="198"/>
    </w:pPr>
    <w:rPr>
      <w:rFonts w:ascii="Garamond" w:hAnsi="Garamond"/>
    </w:rPr>
  </w:style>
  <w:style w:type="paragraph" w:styleId="IndexHeading">
    <w:name w:val="index heading"/>
    <w:basedOn w:val="Normal"/>
    <w:next w:val="Index1"/>
    <w:semiHidden/>
    <w:rsid w:val="00EF0016"/>
    <w:pPr>
      <w:spacing w:before="120" w:after="120"/>
    </w:pPr>
    <w:rPr>
      <w:rFonts w:ascii="Arial" w:hAnsi="Arial"/>
      <w:b/>
      <w:color w:val="918585"/>
      <w:sz w:val="24"/>
    </w:rPr>
  </w:style>
  <w:style w:type="paragraph" w:styleId="Header">
    <w:name w:val="header"/>
    <w:basedOn w:val="Normal"/>
    <w:link w:val="HeaderChar"/>
    <w:rsid w:val="00EF0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016"/>
    <w:rPr>
      <w:rFonts w:ascii="Times New Roman" w:eastAsia="Times New Roman" w:hAnsi="Times New Roman" w:cs="Times New Roman"/>
      <w:sz w:val="16"/>
      <w:szCs w:val="20"/>
      <w:lang w:val="en-GB" w:eastAsia="en-US"/>
    </w:rPr>
  </w:style>
  <w:style w:type="paragraph" w:customStyle="1" w:styleId="Chapter">
    <w:name w:val="Chapter"/>
    <w:basedOn w:val="Normal"/>
    <w:rsid w:val="00EF0016"/>
    <w:pPr>
      <w:spacing w:before="240"/>
    </w:pPr>
    <w:rPr>
      <w:rFonts w:ascii="Times New Roman" w:hAnsi="Times New Roman"/>
      <w:smallCaps/>
      <w:spacing w:val="80"/>
      <w:sz w:val="28"/>
    </w:rPr>
  </w:style>
  <w:style w:type="paragraph" w:customStyle="1" w:styleId="InChapter">
    <w:name w:val="InChapter"/>
    <w:basedOn w:val="Heading3"/>
    <w:rsid w:val="00EF0016"/>
    <w:pPr>
      <w:spacing w:after="240"/>
      <w:outlineLvl w:val="9"/>
    </w:pPr>
    <w:rPr>
      <w:noProof/>
    </w:rPr>
  </w:style>
  <w:style w:type="paragraph" w:styleId="Index2">
    <w:name w:val="index 2"/>
    <w:basedOn w:val="Normal"/>
    <w:next w:val="Normal"/>
    <w:semiHidden/>
    <w:rsid w:val="00EF0016"/>
    <w:pPr>
      <w:tabs>
        <w:tab w:val="right" w:pos="4176"/>
      </w:tabs>
      <w:ind w:left="568" w:hanging="284"/>
    </w:pPr>
    <w:rPr>
      <w:rFonts w:ascii="Garamond" w:hAnsi="Garamond"/>
    </w:rPr>
  </w:style>
  <w:style w:type="paragraph" w:customStyle="1" w:styleId="Byline">
    <w:name w:val="Byline"/>
    <w:rsid w:val="00EF0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016"/>
    <w:pPr>
      <w:tabs>
        <w:tab w:val="clear" w:pos="3600"/>
        <w:tab w:val="clear" w:pos="3958"/>
      </w:tabs>
      <w:jc w:val="right"/>
    </w:pPr>
  </w:style>
  <w:style w:type="character" w:styleId="Emphasis">
    <w:name w:val="Emphasis"/>
    <w:basedOn w:val="DefaultParagraphFont"/>
    <w:qFormat/>
    <w:rsid w:val="00EF0016"/>
    <w:rPr>
      <w:i/>
    </w:rPr>
  </w:style>
  <w:style w:type="paragraph" w:styleId="Caption">
    <w:name w:val="caption"/>
    <w:basedOn w:val="BodyText"/>
    <w:next w:val="Normal"/>
    <w:qFormat/>
    <w:rsid w:val="00EF0016"/>
    <w:pPr>
      <w:framePr w:w="2268" w:hSpace="181" w:vSpace="181" w:wrap="around" w:vAnchor="text" w:hAnchor="page" w:x="1135" w:y="285" w:anchorLock="1"/>
    </w:pPr>
    <w:rPr>
      <w:i/>
    </w:rPr>
  </w:style>
  <w:style w:type="paragraph" w:customStyle="1" w:styleId="MiniTOCTitle">
    <w:name w:val="MiniTOCTitle"/>
    <w:basedOn w:val="Heading4"/>
    <w:rsid w:val="00EF0016"/>
    <w:pPr>
      <w:spacing w:before="240"/>
      <w:outlineLvl w:val="9"/>
    </w:pPr>
    <w:rPr>
      <w:noProof/>
      <w:sz w:val="24"/>
    </w:rPr>
  </w:style>
  <w:style w:type="paragraph" w:customStyle="1" w:styleId="MiniTOCItem">
    <w:name w:val="MiniTOCItem"/>
    <w:basedOn w:val="ListBullet"/>
    <w:rsid w:val="00EF0016"/>
    <w:pPr>
      <w:numPr>
        <w:numId w:val="0"/>
      </w:numPr>
      <w:tabs>
        <w:tab w:val="right" w:leader="dot" w:pos="6521"/>
      </w:tabs>
      <w:spacing w:before="0" w:after="0"/>
    </w:pPr>
  </w:style>
  <w:style w:type="paragraph" w:customStyle="1" w:styleId="TOFTitle">
    <w:name w:val="TOFTitle"/>
    <w:basedOn w:val="TOCTitle"/>
    <w:rsid w:val="00EF0016"/>
  </w:style>
  <w:style w:type="paragraph" w:styleId="TableofFigures">
    <w:name w:val="table of figures"/>
    <w:basedOn w:val="Normal"/>
    <w:next w:val="Normal"/>
    <w:semiHidden/>
    <w:rsid w:val="00EF0016"/>
    <w:pPr>
      <w:tabs>
        <w:tab w:val="right" w:leader="dot" w:pos="9072"/>
      </w:tabs>
      <w:ind w:left="970" w:hanging="403"/>
    </w:pPr>
    <w:rPr>
      <w:rFonts w:ascii="Times New Roman" w:hAnsi="Times New Roman"/>
      <w:b/>
    </w:rPr>
  </w:style>
  <w:style w:type="paragraph" w:styleId="ListNumber">
    <w:name w:val="List Number"/>
    <w:basedOn w:val="List"/>
    <w:rsid w:val="00EF0016"/>
    <w:pPr>
      <w:numPr>
        <w:numId w:val="12"/>
      </w:numPr>
    </w:pPr>
  </w:style>
  <w:style w:type="character" w:customStyle="1" w:styleId="WingdingSymbols">
    <w:name w:val="Wingding Symbols"/>
    <w:rsid w:val="00EF0016"/>
    <w:rPr>
      <w:rFonts w:ascii="Wingdings" w:hAnsi="Wingdings"/>
    </w:rPr>
  </w:style>
  <w:style w:type="paragraph" w:customStyle="1" w:styleId="TableHeading">
    <w:name w:val="Table Heading"/>
    <w:basedOn w:val="HeadingBase"/>
    <w:rsid w:val="00EF0016"/>
    <w:pPr>
      <w:keepLines/>
      <w:pBdr>
        <w:bottom w:val="single" w:sz="6" w:space="1" w:color="918585"/>
      </w:pBdr>
      <w:spacing w:before="240"/>
    </w:pPr>
  </w:style>
  <w:style w:type="character" w:customStyle="1" w:styleId="HotSpot">
    <w:name w:val="HotSpot"/>
    <w:rsid w:val="00EF0016"/>
    <w:rPr>
      <w:color w:val="0033CC"/>
      <w:u w:val="none"/>
    </w:rPr>
  </w:style>
  <w:style w:type="paragraph" w:customStyle="1" w:styleId="BodyTextRight">
    <w:name w:val="Body Text Right"/>
    <w:basedOn w:val="BodyText"/>
    <w:rsid w:val="00EF0016"/>
    <w:pPr>
      <w:spacing w:before="0" w:after="0"/>
      <w:jc w:val="right"/>
    </w:pPr>
  </w:style>
  <w:style w:type="paragraph" w:styleId="Index3">
    <w:name w:val="index 3"/>
    <w:basedOn w:val="ListNumber2"/>
    <w:next w:val="Normal"/>
    <w:semiHidden/>
    <w:rsid w:val="00EF0016"/>
    <w:pPr>
      <w:numPr>
        <w:numId w:val="0"/>
      </w:numPr>
      <w:tabs>
        <w:tab w:val="right" w:leader="dot" w:pos="4176"/>
      </w:tabs>
    </w:pPr>
  </w:style>
  <w:style w:type="paragraph" w:styleId="ListNumber2">
    <w:name w:val="List Number 2"/>
    <w:basedOn w:val="List2"/>
    <w:rsid w:val="00EF0016"/>
    <w:pPr>
      <w:numPr>
        <w:numId w:val="11"/>
      </w:numPr>
      <w:tabs>
        <w:tab w:val="clear" w:pos="1060"/>
      </w:tabs>
    </w:pPr>
  </w:style>
  <w:style w:type="paragraph" w:customStyle="1" w:styleId="MarginNote">
    <w:name w:val="Margin Note"/>
    <w:basedOn w:val="BodyText"/>
    <w:rsid w:val="00EF0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0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016"/>
    <w:rPr>
      <w:sz w:val="32"/>
    </w:rPr>
  </w:style>
  <w:style w:type="paragraph" w:customStyle="1" w:styleId="HeadingProcedure">
    <w:name w:val="Heading Procedure"/>
    <w:basedOn w:val="HeadingBase"/>
    <w:next w:val="Normal"/>
    <w:rsid w:val="00EF0016"/>
    <w:pPr>
      <w:tabs>
        <w:tab w:val="left" w:pos="0"/>
      </w:tabs>
      <w:spacing w:before="120" w:after="60"/>
    </w:pPr>
    <w:rPr>
      <w:i/>
      <w:color w:val="918585"/>
      <w:sz w:val="22"/>
    </w:rPr>
  </w:style>
  <w:style w:type="paragraph" w:customStyle="1" w:styleId="TableBodyText">
    <w:name w:val="Table Body Text"/>
    <w:basedOn w:val="BodyText"/>
    <w:rsid w:val="00EF0016"/>
    <w:pPr>
      <w:spacing w:before="60" w:after="60"/>
    </w:pPr>
  </w:style>
  <w:style w:type="paragraph" w:styleId="ListContinue">
    <w:name w:val="List Continue"/>
    <w:basedOn w:val="List"/>
    <w:rsid w:val="00EF0016"/>
    <w:pPr>
      <w:ind w:firstLine="0"/>
    </w:pPr>
  </w:style>
  <w:style w:type="paragraph" w:customStyle="1" w:styleId="ListNote">
    <w:name w:val="List Note"/>
    <w:basedOn w:val="List"/>
    <w:rsid w:val="00EF0016"/>
    <w:pPr>
      <w:pBdr>
        <w:top w:val="single" w:sz="6" w:space="2" w:color="918585"/>
        <w:bottom w:val="single" w:sz="6" w:space="2" w:color="918585"/>
      </w:pBdr>
      <w:tabs>
        <w:tab w:val="left" w:pos="1021"/>
      </w:tabs>
      <w:ind w:firstLine="0"/>
    </w:pPr>
  </w:style>
  <w:style w:type="paragraph" w:customStyle="1" w:styleId="Warning">
    <w:name w:val="Warning"/>
    <w:basedOn w:val="BodyText"/>
    <w:rsid w:val="00EF0016"/>
    <w:pPr>
      <w:shd w:val="clear" w:color="auto" w:fill="D9D9D9"/>
      <w:tabs>
        <w:tab w:val="left" w:pos="992"/>
      </w:tabs>
      <w:ind w:left="119" w:right="119"/>
    </w:pPr>
    <w:rPr>
      <w:sz w:val="20"/>
    </w:rPr>
  </w:style>
  <w:style w:type="paragraph" w:customStyle="1" w:styleId="MarginIcons">
    <w:name w:val="Margin Icons"/>
    <w:basedOn w:val="BodyText"/>
    <w:rsid w:val="00EF0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016"/>
    <w:rPr>
      <w:rFonts w:ascii="Courier New" w:hAnsi="Courier New"/>
    </w:rPr>
  </w:style>
  <w:style w:type="paragraph" w:customStyle="1" w:styleId="NoteBullet">
    <w:name w:val="Note Bullet"/>
    <w:basedOn w:val="Note"/>
    <w:rsid w:val="00EF0016"/>
    <w:pPr>
      <w:tabs>
        <w:tab w:val="clear" w:pos="680"/>
      </w:tabs>
      <w:spacing w:before="60" w:after="60"/>
    </w:pPr>
  </w:style>
  <w:style w:type="paragraph" w:customStyle="1" w:styleId="SubHeading2">
    <w:name w:val="SubHeading2"/>
    <w:basedOn w:val="HeadingBase"/>
    <w:rsid w:val="00EF0016"/>
    <w:pPr>
      <w:spacing w:before="240" w:after="60"/>
    </w:pPr>
    <w:rPr>
      <w:sz w:val="20"/>
    </w:rPr>
  </w:style>
  <w:style w:type="paragraph" w:customStyle="1" w:styleId="SubHeading1">
    <w:name w:val="SubHeading1"/>
    <w:basedOn w:val="HeadingBase"/>
    <w:rsid w:val="00EF0016"/>
    <w:pPr>
      <w:spacing w:before="240" w:after="60"/>
    </w:pPr>
    <w:rPr>
      <w:color w:val="918585"/>
      <w:sz w:val="22"/>
    </w:rPr>
  </w:style>
  <w:style w:type="paragraph" w:customStyle="1" w:styleId="SideHeading">
    <w:name w:val="Side Heading"/>
    <w:basedOn w:val="HeadingBase"/>
    <w:rsid w:val="00EF0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016"/>
    <w:pPr>
      <w:numPr>
        <w:numId w:val="13"/>
      </w:numPr>
    </w:pPr>
  </w:style>
  <w:style w:type="paragraph" w:styleId="PlainText">
    <w:name w:val="Plain Text"/>
    <w:basedOn w:val="Normal"/>
    <w:link w:val="PlainTextChar"/>
    <w:rsid w:val="00EF0016"/>
    <w:rPr>
      <w:sz w:val="20"/>
    </w:rPr>
  </w:style>
  <w:style w:type="character" w:customStyle="1" w:styleId="PlainTextChar">
    <w:name w:val="Plain Text Char"/>
    <w:basedOn w:val="DefaultParagraphFont"/>
    <w:link w:val="PlainText"/>
    <w:rsid w:val="00EF0016"/>
    <w:rPr>
      <w:rFonts w:ascii="Courier New" w:eastAsia="Times New Roman" w:hAnsi="Courier New" w:cs="Times New Roman"/>
      <w:sz w:val="20"/>
      <w:szCs w:val="20"/>
      <w:lang w:eastAsia="en-US"/>
    </w:rPr>
  </w:style>
  <w:style w:type="character" w:customStyle="1" w:styleId="MenuOption">
    <w:name w:val="Menu Option"/>
    <w:basedOn w:val="DefaultParagraphFont"/>
    <w:rsid w:val="00EF0016"/>
    <w:rPr>
      <w:b/>
      <w:smallCaps/>
    </w:rPr>
  </w:style>
  <w:style w:type="paragraph" w:customStyle="1" w:styleId="TableListNumber">
    <w:name w:val="Table List Number"/>
    <w:basedOn w:val="ListNumber"/>
    <w:rsid w:val="00EF0016"/>
    <w:pPr>
      <w:numPr>
        <w:numId w:val="0"/>
      </w:numPr>
    </w:pPr>
  </w:style>
  <w:style w:type="paragraph" w:styleId="TOC4">
    <w:name w:val="toc 4"/>
    <w:basedOn w:val="TOCBase"/>
    <w:next w:val="Normal"/>
    <w:semiHidden/>
    <w:rsid w:val="00EF0016"/>
    <w:pPr>
      <w:tabs>
        <w:tab w:val="right" w:leader="dot" w:pos="9071"/>
      </w:tabs>
      <w:ind w:left="1701"/>
    </w:pPr>
  </w:style>
  <w:style w:type="paragraph" w:customStyle="1" w:styleId="ListAlpha">
    <w:name w:val="List Alpha"/>
    <w:basedOn w:val="List"/>
    <w:rsid w:val="00EF0016"/>
    <w:pPr>
      <w:numPr>
        <w:numId w:val="10"/>
      </w:numPr>
    </w:pPr>
  </w:style>
  <w:style w:type="paragraph" w:customStyle="1" w:styleId="ListAlpha2">
    <w:name w:val="List Alpha 2"/>
    <w:basedOn w:val="List2"/>
    <w:rsid w:val="00EF0016"/>
    <w:pPr>
      <w:numPr>
        <w:numId w:val="9"/>
      </w:numPr>
    </w:pPr>
  </w:style>
  <w:style w:type="paragraph" w:styleId="List2">
    <w:name w:val="List 2"/>
    <w:basedOn w:val="BodyText"/>
    <w:rsid w:val="00EF0016"/>
    <w:pPr>
      <w:tabs>
        <w:tab w:val="left" w:pos="680"/>
      </w:tabs>
      <w:spacing w:before="60" w:after="60"/>
      <w:ind w:left="680" w:hanging="340"/>
    </w:pPr>
  </w:style>
  <w:style w:type="paragraph" w:styleId="List3">
    <w:name w:val="List 3"/>
    <w:basedOn w:val="BodyText"/>
    <w:rsid w:val="00EF0016"/>
    <w:pPr>
      <w:tabs>
        <w:tab w:val="left" w:pos="1021"/>
      </w:tabs>
      <w:spacing w:before="60" w:after="60"/>
      <w:ind w:left="1020" w:hanging="340"/>
    </w:pPr>
  </w:style>
  <w:style w:type="paragraph" w:styleId="List4">
    <w:name w:val="List 4"/>
    <w:basedOn w:val="BodyText"/>
    <w:rsid w:val="00EF0016"/>
    <w:pPr>
      <w:tabs>
        <w:tab w:val="left" w:pos="1361"/>
      </w:tabs>
      <w:spacing w:before="60" w:after="60"/>
      <w:ind w:left="1361" w:hanging="340"/>
    </w:pPr>
  </w:style>
  <w:style w:type="paragraph" w:styleId="List5">
    <w:name w:val="List 5"/>
    <w:basedOn w:val="BodyText"/>
    <w:rsid w:val="00EF0016"/>
    <w:pPr>
      <w:tabs>
        <w:tab w:val="left" w:pos="1701"/>
      </w:tabs>
      <w:spacing w:before="60" w:after="60"/>
      <w:ind w:left="1701" w:hanging="340"/>
    </w:pPr>
  </w:style>
  <w:style w:type="paragraph" w:styleId="ListBullet4">
    <w:name w:val="List Bullet 4"/>
    <w:basedOn w:val="List4"/>
    <w:rsid w:val="00EF0016"/>
    <w:pPr>
      <w:numPr>
        <w:numId w:val="4"/>
      </w:numPr>
      <w:tabs>
        <w:tab w:val="clear" w:pos="1361"/>
      </w:tabs>
    </w:pPr>
  </w:style>
  <w:style w:type="paragraph" w:styleId="ListBullet5">
    <w:name w:val="List Bullet 5"/>
    <w:basedOn w:val="List5"/>
    <w:rsid w:val="00EF0016"/>
    <w:pPr>
      <w:numPr>
        <w:numId w:val="5"/>
      </w:numPr>
    </w:pPr>
  </w:style>
  <w:style w:type="paragraph" w:styleId="ListContinue2">
    <w:name w:val="List Continue 2"/>
    <w:basedOn w:val="List2"/>
    <w:rsid w:val="00EF0016"/>
    <w:pPr>
      <w:ind w:firstLine="0"/>
    </w:pPr>
  </w:style>
  <w:style w:type="paragraph" w:styleId="ListContinue3">
    <w:name w:val="List Continue 3"/>
    <w:basedOn w:val="List3"/>
    <w:rsid w:val="00EF0016"/>
    <w:pPr>
      <w:ind w:left="1021" w:firstLine="0"/>
    </w:pPr>
  </w:style>
  <w:style w:type="paragraph" w:styleId="ListContinue4">
    <w:name w:val="List Continue 4"/>
    <w:basedOn w:val="List4"/>
    <w:rsid w:val="00EF0016"/>
    <w:pPr>
      <w:ind w:firstLine="0"/>
    </w:pPr>
  </w:style>
  <w:style w:type="paragraph" w:styleId="ListContinue5">
    <w:name w:val="List Continue 5"/>
    <w:basedOn w:val="List5"/>
    <w:rsid w:val="00EF0016"/>
    <w:pPr>
      <w:ind w:firstLine="0"/>
    </w:pPr>
  </w:style>
  <w:style w:type="paragraph" w:styleId="ListNumber3">
    <w:name w:val="List Number 3"/>
    <w:basedOn w:val="List3"/>
    <w:rsid w:val="00EF0016"/>
    <w:pPr>
      <w:numPr>
        <w:numId w:val="6"/>
      </w:numPr>
    </w:pPr>
  </w:style>
  <w:style w:type="paragraph" w:styleId="ListNumber4">
    <w:name w:val="List Number 4"/>
    <w:basedOn w:val="List4"/>
    <w:rsid w:val="00EF0016"/>
    <w:pPr>
      <w:numPr>
        <w:numId w:val="7"/>
      </w:numPr>
    </w:pPr>
  </w:style>
  <w:style w:type="paragraph" w:styleId="ListNumber5">
    <w:name w:val="List Number 5"/>
    <w:basedOn w:val="List5"/>
    <w:rsid w:val="00EF0016"/>
    <w:pPr>
      <w:numPr>
        <w:numId w:val="8"/>
      </w:numPr>
    </w:pPr>
  </w:style>
  <w:style w:type="paragraph" w:styleId="BlockText">
    <w:name w:val="Block Text"/>
    <w:basedOn w:val="Normal"/>
    <w:rsid w:val="00EF0016"/>
    <w:pPr>
      <w:spacing w:after="120"/>
      <w:ind w:left="1440" w:right="1440"/>
    </w:pPr>
  </w:style>
  <w:style w:type="character" w:customStyle="1" w:styleId="Subscript">
    <w:name w:val="Subscript"/>
    <w:basedOn w:val="DefaultParagraphFont"/>
    <w:rsid w:val="00EF0016"/>
    <w:rPr>
      <w:sz w:val="16"/>
      <w:vertAlign w:val="subscript"/>
    </w:rPr>
  </w:style>
  <w:style w:type="character" w:customStyle="1" w:styleId="Superscript">
    <w:name w:val="Superscript"/>
    <w:basedOn w:val="DefaultParagraphFont"/>
    <w:rsid w:val="00EF0016"/>
    <w:rPr>
      <w:sz w:val="16"/>
      <w:vertAlign w:val="superscript"/>
    </w:rPr>
  </w:style>
  <w:style w:type="character" w:customStyle="1" w:styleId="Symbols">
    <w:name w:val="Symbols"/>
    <w:basedOn w:val="DefaultParagraphFont"/>
    <w:rsid w:val="00EF0016"/>
    <w:rPr>
      <w:rFonts w:ascii="Symbol" w:hAnsi="Symbol"/>
    </w:rPr>
  </w:style>
  <w:style w:type="character" w:customStyle="1" w:styleId="MenuOptions">
    <w:name w:val="Menu Options"/>
    <w:basedOn w:val="DefaultParagraphFont"/>
    <w:rsid w:val="00EF0016"/>
    <w:rPr>
      <w:rFonts w:ascii="Arial Narrow" w:hAnsi="Arial Narrow"/>
      <w:smallCaps/>
    </w:rPr>
  </w:style>
  <w:style w:type="character" w:customStyle="1" w:styleId="Buttons">
    <w:name w:val="Buttons"/>
    <w:basedOn w:val="DefaultParagraphFont"/>
    <w:rsid w:val="00EF0016"/>
    <w:rPr>
      <w:b/>
    </w:rPr>
  </w:style>
  <w:style w:type="character" w:customStyle="1" w:styleId="Underlined">
    <w:name w:val="Underlined"/>
    <w:basedOn w:val="DefaultParagraphFont"/>
    <w:rsid w:val="00EF0016"/>
    <w:rPr>
      <w:u w:val="single"/>
    </w:rPr>
  </w:style>
  <w:style w:type="paragraph" w:customStyle="1" w:styleId="TableBodyTextRight">
    <w:name w:val="Table Body Text Right"/>
    <w:basedOn w:val="TableBodyText"/>
    <w:rsid w:val="00EF0016"/>
    <w:pPr>
      <w:widowControl w:val="0"/>
      <w:autoSpaceDE w:val="0"/>
      <w:autoSpaceDN w:val="0"/>
      <w:adjustRightInd w:val="0"/>
      <w:jc w:val="right"/>
    </w:pPr>
    <w:rPr>
      <w:rFonts w:cs="Arial"/>
      <w:szCs w:val="18"/>
    </w:rPr>
  </w:style>
  <w:style w:type="paragraph" w:customStyle="1" w:styleId="CopyrightText">
    <w:name w:val="Copyright Text"/>
    <w:basedOn w:val="BodyText"/>
    <w:rsid w:val="00EF0016"/>
    <w:rPr>
      <w:sz w:val="18"/>
    </w:rPr>
  </w:style>
  <w:style w:type="paragraph" w:customStyle="1" w:styleId="BodySmallRight">
    <w:name w:val="Body Small Right"/>
    <w:basedOn w:val="BodyTextRight"/>
    <w:rsid w:val="00EF0016"/>
    <w:rPr>
      <w:sz w:val="18"/>
      <w:szCs w:val="18"/>
    </w:rPr>
  </w:style>
  <w:style w:type="paragraph" w:customStyle="1" w:styleId="MarginEdition">
    <w:name w:val="Margin Edition"/>
    <w:basedOn w:val="MarginNote"/>
    <w:rsid w:val="00EF0016"/>
    <w:pPr>
      <w:spacing w:before="0" w:after="0"/>
    </w:pPr>
    <w:rPr>
      <w:rFonts w:ascii="Times New Roman" w:hAnsi="Times New Roman"/>
      <w:color w:val="999999"/>
    </w:rPr>
  </w:style>
  <w:style w:type="paragraph" w:customStyle="1" w:styleId="Spacer">
    <w:name w:val="Spacer"/>
    <w:basedOn w:val="Normal"/>
    <w:rsid w:val="00EF0016"/>
    <w:rPr>
      <w:sz w:val="2"/>
      <w:szCs w:val="2"/>
    </w:rPr>
  </w:style>
  <w:style w:type="character" w:customStyle="1" w:styleId="Small">
    <w:name w:val="Small"/>
    <w:basedOn w:val="DefaultParagraphFont"/>
    <w:rsid w:val="00EF0016"/>
    <w:rPr>
      <w:sz w:val="16"/>
    </w:rPr>
  </w:style>
  <w:style w:type="paragraph" w:customStyle="1" w:styleId="WideTable">
    <w:name w:val="Wide Table"/>
    <w:basedOn w:val="Normal"/>
    <w:rsid w:val="00EF0016"/>
    <w:pPr>
      <w:ind w:left="-1418"/>
    </w:pPr>
    <w:rPr>
      <w:sz w:val="2"/>
      <w:szCs w:val="2"/>
    </w:rPr>
  </w:style>
  <w:style w:type="character" w:styleId="PageNumber">
    <w:name w:val="page number"/>
    <w:basedOn w:val="DefaultParagraphFont"/>
    <w:rsid w:val="00EF0016"/>
  </w:style>
  <w:style w:type="paragraph" w:styleId="Quote">
    <w:name w:val="Quote"/>
    <w:basedOn w:val="Heading1"/>
    <w:link w:val="QuoteChar"/>
    <w:qFormat/>
    <w:rsid w:val="00EF0016"/>
    <w:rPr>
      <w:b w:val="0"/>
      <w:sz w:val="72"/>
      <w:szCs w:val="72"/>
      <w:lang w:val="en-NZ"/>
    </w:rPr>
  </w:style>
  <w:style w:type="character" w:customStyle="1" w:styleId="QuoteChar">
    <w:name w:val="Quote Char"/>
    <w:basedOn w:val="DefaultParagraphFont"/>
    <w:link w:val="Quote"/>
    <w:rsid w:val="00EF0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016"/>
    <w:pPr>
      <w:pageBreakBefore/>
    </w:pPr>
  </w:style>
  <w:style w:type="paragraph" w:customStyle="1" w:styleId="Border">
    <w:name w:val="Border"/>
    <w:basedOn w:val="Normal"/>
    <w:qFormat/>
    <w:rsid w:val="00EF0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016"/>
    <w:rPr>
      <w:b/>
      <w:bCs/>
      <w:i/>
      <w:iCs/>
      <w:color w:val="auto"/>
    </w:rPr>
  </w:style>
  <w:style w:type="paragraph" w:styleId="IntenseQuote">
    <w:name w:val="Intense Quote"/>
    <w:basedOn w:val="Normal"/>
    <w:next w:val="Normal"/>
    <w:link w:val="IntenseQuoteChar"/>
    <w:uiPriority w:val="30"/>
    <w:qFormat/>
    <w:rsid w:val="00EF0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0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016"/>
    <w:rPr>
      <w:smallCaps/>
      <w:color w:val="auto"/>
      <w:u w:val="single"/>
    </w:rPr>
  </w:style>
  <w:style w:type="character" w:styleId="IntenseReference">
    <w:name w:val="Intense Reference"/>
    <w:basedOn w:val="DefaultParagraphFont"/>
    <w:uiPriority w:val="32"/>
    <w:qFormat/>
    <w:rsid w:val="00EF0016"/>
    <w:rPr>
      <w:b/>
      <w:bCs/>
      <w:smallCaps/>
      <w:color w:val="auto"/>
      <w:spacing w:val="5"/>
      <w:u w:val="single"/>
    </w:rPr>
  </w:style>
  <w:style w:type="paragraph" w:customStyle="1" w:styleId="2ColumnHeading">
    <w:name w:val="2Column Heading"/>
    <w:basedOn w:val="BodyText"/>
    <w:qFormat/>
    <w:rsid w:val="00EF0016"/>
    <w:pPr>
      <w:spacing w:after="60"/>
      <w:ind w:left="-2268"/>
    </w:pPr>
    <w:rPr>
      <w:b/>
    </w:rPr>
  </w:style>
  <w:style w:type="paragraph" w:customStyle="1" w:styleId="Heading1TOC">
    <w:name w:val="Heading1 TOC"/>
    <w:basedOn w:val="Normal"/>
    <w:qFormat/>
    <w:rsid w:val="00EF0016"/>
    <w:pPr>
      <w:spacing w:before="240" w:after="120"/>
    </w:pPr>
    <w:rPr>
      <w:rFonts w:ascii="Times New Roman" w:hAnsi="Times New Roman"/>
      <w:b/>
      <w:sz w:val="32"/>
    </w:rPr>
  </w:style>
  <w:style w:type="paragraph" w:customStyle="1" w:styleId="Heading2TOC">
    <w:name w:val="Heading2 TOC"/>
    <w:basedOn w:val="Normal"/>
    <w:qFormat/>
    <w:rsid w:val="00EF0016"/>
    <w:pPr>
      <w:spacing w:before="240" w:after="60"/>
    </w:pPr>
    <w:rPr>
      <w:rFonts w:ascii="Times New Roman" w:hAnsi="Times New Roman"/>
      <w:b/>
      <w:sz w:val="28"/>
    </w:rPr>
  </w:style>
  <w:style w:type="character" w:customStyle="1" w:styleId="Underline">
    <w:name w:val="Underline"/>
    <w:basedOn w:val="DefaultParagraphFont"/>
    <w:qFormat/>
    <w:rsid w:val="00EF0016"/>
    <w:rPr>
      <w:u w:val="single"/>
    </w:rPr>
  </w:style>
  <w:style w:type="character" w:customStyle="1" w:styleId="BoldandItalics">
    <w:name w:val="Bold and Italics"/>
    <w:qFormat/>
    <w:rsid w:val="00EF0016"/>
    <w:rPr>
      <w:b/>
      <w:i/>
      <w:u w:val="none"/>
    </w:rPr>
  </w:style>
  <w:style w:type="paragraph" w:styleId="BalloonText">
    <w:name w:val="Balloon Text"/>
    <w:basedOn w:val="Normal"/>
    <w:link w:val="BalloonTextChar"/>
    <w:rsid w:val="00EF0016"/>
    <w:rPr>
      <w:rFonts w:ascii="Tahoma" w:hAnsi="Tahoma" w:cs="Tahoma"/>
      <w:sz w:val="16"/>
      <w:szCs w:val="16"/>
    </w:rPr>
  </w:style>
  <w:style w:type="character" w:customStyle="1" w:styleId="BalloonTextChar">
    <w:name w:val="Balloon Text Char"/>
    <w:basedOn w:val="DefaultParagraphFont"/>
    <w:link w:val="BalloonText"/>
    <w:rsid w:val="00EF00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0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0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016"/>
    <w:rPr>
      <w:b/>
      <w:color w:val="660033"/>
      <w:spacing w:val="0"/>
    </w:rPr>
  </w:style>
  <w:style w:type="paragraph" w:customStyle="1" w:styleId="Nameditemlist">
    <w:name w:val="Named item list"/>
    <w:basedOn w:val="BodyText"/>
    <w:qFormat/>
    <w:rsid w:val="00EF0016"/>
    <w:pPr>
      <w:tabs>
        <w:tab w:val="left" w:pos="2835"/>
      </w:tabs>
      <w:ind w:left="2835" w:hanging="2835"/>
    </w:pPr>
  </w:style>
  <w:style w:type="paragraph" w:customStyle="1" w:styleId="BodyTextnopadding">
    <w:name w:val="Body Text no padding"/>
    <w:basedOn w:val="BodyText"/>
    <w:qFormat/>
    <w:rsid w:val="00EF0016"/>
    <w:pPr>
      <w:spacing w:before="0" w:after="0"/>
    </w:pPr>
  </w:style>
  <w:style w:type="character" w:styleId="Hyperlink">
    <w:name w:val="Hyperlink"/>
    <w:basedOn w:val="DefaultParagraphFont"/>
    <w:uiPriority w:val="99"/>
    <w:unhideWhenUsed/>
    <w:rsid w:val="002E3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4759</Characters>
  <Application>Microsoft Office Word</Application>
  <DocSecurity>0</DocSecurity>
  <Lines>128</Lines>
  <Paragraphs>98</Paragraphs>
  <ScaleCrop>false</ScaleCrop>
  <Company>Author-it Software Corporation Ltd.</Company>
  <LinksUpToDate>false</LinksUpToDate>
  <CharactersWithSpaces>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AURETR031 Diagnose and repair ignition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2018-12-07T01:10:00Z</dcterms:created>
  <dcterms:modified xsi:type="dcterms:W3CDTF">2018-12-07T01:10:00Z</dcterms:modified>
</cp:coreProperties>
</file>