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BF0" w:rsidP="00892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AURETR028 Diagnose and repair instruments and warning systems</w:t>
      </w:r>
      <w:r>
        <w:fldChar w:fldCharType="end"/>
      </w:r>
    </w:p>
    <w:p w:rsidR="00892BF0" w:rsidP="00892BF0">
      <w:pPr>
        <w:pStyle w:val="Version"/>
        <w:sectPr w:rsidSect="004A2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591" w:rsidP="004A2591">
      <w:pPr>
        <w:pStyle w:val="SuperHeading"/>
      </w:pPr>
      <w:r w:rsidRPr="004A2591">
        <w:t>Assessment Requirements for AURETR028 Diagnose and repair instruments and warning systems</w:t>
      </w:r>
    </w:p>
    <w:p w:rsidR="00000000" w:rsidRPr="004A2591" w:rsidP="004A2591">
      <w:pPr>
        <w:pStyle w:val="Heading1"/>
      </w:pPr>
      <w:bookmarkStart w:id="1" w:name="O_771425"/>
      <w:bookmarkEnd w:id="1"/>
      <w:r w:rsidRPr="004A259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2B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591" w:rsidP="004A2591">
            <w:pPr>
              <w:pStyle w:val="BodyText"/>
            </w:pPr>
            <w:r w:rsidRPr="004A259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591">
            <w:pPr>
              <w:pStyle w:val="BodyText"/>
              <w:rPr>
                <w:lang w:val="en-NZ"/>
              </w:rPr>
            </w:pPr>
            <w:r w:rsidRPr="004A2591">
              <w:rPr>
                <w:rStyle w:val="SpecialBold"/>
              </w:rPr>
              <w:t>Comment</w:t>
            </w:r>
          </w:p>
        </w:tc>
      </w:tr>
      <w:tr w:rsidTr="00892B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591">
            <w:pPr>
              <w:pStyle w:val="BodyText"/>
              <w:rPr>
                <w:lang w:val="en-NZ"/>
              </w:rPr>
            </w:pPr>
            <w:r w:rsidRPr="004A259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591" w:rsidP="004A2591">
            <w:pPr>
              <w:pStyle w:val="BodyText"/>
            </w:pPr>
            <w:r w:rsidRPr="004A2591">
              <w:t>New unit of competency.</w:t>
            </w:r>
          </w:p>
        </w:tc>
      </w:tr>
    </w:tbl>
    <w:p w:rsidR="00000000" w:rsidRPr="004A2591" w:rsidP="004A2591">
      <w:pPr>
        <w:pStyle w:val="BodyText"/>
      </w:pPr>
    </w:p>
    <w:p w:rsidR="00000000" w:rsidRPr="004A2591" w:rsidP="004A2591">
      <w:pPr>
        <w:pStyle w:val="AllowPageBreak"/>
      </w:pPr>
    </w:p>
    <w:p w:rsidR="00000000" w:rsidRPr="004A2591" w:rsidP="004A2591">
      <w:pPr>
        <w:pStyle w:val="Heading1"/>
      </w:pPr>
      <w:bookmarkStart w:id="2" w:name="O_771426"/>
      <w:bookmarkEnd w:id="2"/>
      <w:r w:rsidRPr="004A2591">
        <w:t>Performance Evidence</w:t>
      </w:r>
    </w:p>
    <w:p w:rsidR="00000000" w:rsidRPr="004A2591" w:rsidP="00892BF0">
      <w:pPr>
        <w:pStyle w:val="BodyText"/>
      </w:pPr>
      <w:r w:rsidRPr="004A2591">
        <w:t>Before competen</w:t>
      </w:r>
      <w:r w:rsidRPr="004A2591">
        <w:t>cy can be determined, individuals must demonstrate they can perform the following according to the standard defined in the unit’s elements and performance criteria, range of conditions and foundation skills:</w:t>
      </w:r>
    </w:p>
    <w:p w:rsidR="00000000" w:rsidRPr="004A2591" w:rsidP="004A2591">
      <w:pPr>
        <w:pStyle w:val="ListBullet"/>
      </w:pPr>
      <w:r w:rsidRPr="004A2591">
        <w:t xml:space="preserve">diagnose and repair a fault in the instruments </w:t>
      </w:r>
      <w:r w:rsidRPr="004A2591">
        <w:t>and warning systems of two different vehicles, vessels or machinery, including faults in two of the following:</w:t>
      </w:r>
    </w:p>
    <w:p w:rsidR="00000000" w:rsidRPr="004A2591" w:rsidP="004A2591">
      <w:pPr>
        <w:pStyle w:val="ListBullet2"/>
      </w:pPr>
      <w:r w:rsidRPr="004A2591">
        <w:t xml:space="preserve">driver instrument warning gauge assembly </w:t>
      </w:r>
    </w:p>
    <w:p w:rsidR="00000000" w:rsidRPr="004A2591" w:rsidP="004A2591">
      <w:pPr>
        <w:pStyle w:val="ListBullet2"/>
      </w:pPr>
      <w:r w:rsidRPr="004A2591">
        <w:t>engine monitoring warning assembly</w:t>
      </w:r>
    </w:p>
    <w:p w:rsidR="00000000" w:rsidRPr="004A2591" w:rsidP="004A2591">
      <w:pPr>
        <w:pStyle w:val="ListBullet2"/>
      </w:pPr>
      <w:r w:rsidRPr="004A2591">
        <w:t>vehicle warning visual alert assembly</w:t>
      </w:r>
    </w:p>
    <w:p w:rsidR="00000000" w:rsidRPr="004A2591" w:rsidP="004A2591">
      <w:pPr>
        <w:pStyle w:val="ListBullet2"/>
      </w:pPr>
      <w:r w:rsidRPr="004A2591">
        <w:t xml:space="preserve">vehicle warning audible alert assembly </w:t>
      </w:r>
    </w:p>
    <w:p w:rsidR="00000000" w:rsidRPr="004A2591" w:rsidP="004A2591">
      <w:pPr>
        <w:pStyle w:val="ListBullet"/>
      </w:pPr>
      <w:r w:rsidRPr="004A2591">
        <w:t>remove, refit or replace an instrument panel in one vehicle, vessel or machinery.</w:t>
      </w:r>
    </w:p>
    <w:p w:rsidR="00000000" w:rsidRPr="004A2591" w:rsidP="004A2591">
      <w:pPr>
        <w:pStyle w:val="AllowPageBreak"/>
      </w:pPr>
    </w:p>
    <w:p w:rsidR="00000000" w:rsidRPr="004A2591" w:rsidP="004A2591">
      <w:pPr>
        <w:pStyle w:val="Heading1"/>
      </w:pPr>
      <w:bookmarkStart w:id="3" w:name="O_771427"/>
      <w:bookmarkEnd w:id="3"/>
      <w:r w:rsidRPr="004A2591">
        <w:t>Knowledge Evidence</w:t>
      </w:r>
    </w:p>
    <w:p w:rsidR="00000000" w:rsidRPr="004A2591" w:rsidP="00892BF0">
      <w:pPr>
        <w:pStyle w:val="BodyText"/>
      </w:pPr>
      <w:r w:rsidRPr="004A2591">
        <w:t>Individuals must be able to demonstrate knowledge of:</w:t>
      </w:r>
    </w:p>
    <w:p w:rsidR="00000000" w:rsidRPr="004A2591" w:rsidP="004A2591">
      <w:pPr>
        <w:pStyle w:val="ListBullet"/>
      </w:pPr>
      <w:r w:rsidRPr="004A2591">
        <w:t>work health and safety (WHS) and occupatio</w:t>
      </w:r>
      <w:r w:rsidRPr="004A2591">
        <w:t>nal health and safety (OHS) requirements relating to diagnosing and repairing instruments and warning systems, including procedures for working with high current wiring systems</w:t>
      </w:r>
    </w:p>
    <w:p w:rsidR="00000000" w:rsidRPr="004A2591" w:rsidP="004A2591">
      <w:pPr>
        <w:pStyle w:val="ListBullet"/>
      </w:pPr>
      <w:r w:rsidRPr="004A2591">
        <w:t>operating principles of instruments and warning systems and associated componen</w:t>
      </w:r>
      <w:r w:rsidRPr="004A2591">
        <w:t>ts, including types of instruments, gauges and warning systems</w:t>
      </w:r>
    </w:p>
    <w:p w:rsidR="00000000" w:rsidRPr="004A2591" w:rsidP="004A2591">
      <w:pPr>
        <w:pStyle w:val="ListBullet"/>
      </w:pPr>
      <w:r w:rsidRPr="004A2591">
        <w:t>application, purpose and operation of instruments and warning systems and components, including:</w:t>
      </w:r>
    </w:p>
    <w:p w:rsidR="00000000" w:rsidRPr="004A2591" w:rsidP="004A2591">
      <w:pPr>
        <w:pStyle w:val="ListBullet2"/>
      </w:pPr>
      <w:r w:rsidRPr="004A2591">
        <w:t>instrument panel construction</w:t>
      </w:r>
    </w:p>
    <w:p w:rsidR="00000000" w:rsidRPr="004A2591" w:rsidP="004A2591">
      <w:pPr>
        <w:pStyle w:val="ListBullet2"/>
      </w:pPr>
      <w:r w:rsidRPr="004A2591">
        <w:t>panel illumination</w:t>
      </w:r>
    </w:p>
    <w:p w:rsidR="00000000" w:rsidRPr="004A2591" w:rsidP="004A2591">
      <w:pPr>
        <w:pStyle w:val="ListBullet2"/>
      </w:pPr>
      <w:r w:rsidRPr="004A2591">
        <w:t>magnetic and thermal gauges</w:t>
      </w:r>
    </w:p>
    <w:p w:rsidR="00000000" w:rsidRPr="004A2591" w:rsidP="004A2591">
      <w:pPr>
        <w:pStyle w:val="ListBullet2"/>
      </w:pPr>
      <w:r w:rsidRPr="004A2591">
        <w:t>voltage regulators</w:t>
      </w:r>
    </w:p>
    <w:p w:rsidR="00000000" w:rsidRPr="004A2591" w:rsidP="004A2591">
      <w:pPr>
        <w:pStyle w:val="ListBullet2"/>
      </w:pPr>
      <w:r w:rsidRPr="004A2591">
        <w:t>mechanical gauges</w:t>
      </w:r>
    </w:p>
    <w:p w:rsidR="00000000" w:rsidRPr="004A2591" w:rsidP="004A2591">
      <w:pPr>
        <w:pStyle w:val="ListBullet2"/>
      </w:pPr>
      <w:r w:rsidRPr="004A2591">
        <w:t>digital electronic gauges and systems</w:t>
      </w:r>
    </w:p>
    <w:p w:rsidR="00000000" w:rsidRPr="004A2591" w:rsidP="004A2591">
      <w:pPr>
        <w:pStyle w:val="ListBullet2"/>
      </w:pPr>
      <w:r w:rsidRPr="004A2591">
        <w:t>warning lights and indicators</w:t>
      </w:r>
    </w:p>
    <w:p w:rsidR="00000000" w:rsidRPr="004A2591" w:rsidP="004A2591">
      <w:pPr>
        <w:pStyle w:val="ListBullet"/>
      </w:pPr>
      <w:r w:rsidRPr="004A2591">
        <w:t>diagnostic testing procedures for instruments and warning systems, including:</w:t>
      </w:r>
    </w:p>
    <w:p w:rsidR="00000000" w:rsidRPr="004A2591" w:rsidP="004A2591">
      <w:pPr>
        <w:pStyle w:val="ListBullet2"/>
      </w:pPr>
      <w:r w:rsidRPr="004A2591">
        <w:t>accessing and interpreting scan tool system data, including:</w:t>
      </w:r>
    </w:p>
    <w:p w:rsidR="00000000" w:rsidRPr="004A2591" w:rsidP="004A2591">
      <w:pPr>
        <w:pStyle w:val="ListBullet3"/>
      </w:pPr>
      <w:r w:rsidRPr="004A2591">
        <w:t>diagnostic trouble codes (D</w:t>
      </w:r>
      <w:r w:rsidRPr="004A2591">
        <w:t>TCs)</w:t>
      </w:r>
    </w:p>
    <w:p w:rsidR="00000000" w:rsidRPr="004A2591" w:rsidP="004A2591">
      <w:pPr>
        <w:pStyle w:val="ListBullet3"/>
      </w:pPr>
      <w:r w:rsidRPr="004A2591">
        <w:t>live data</w:t>
      </w:r>
    </w:p>
    <w:p w:rsidR="00000000" w:rsidRPr="004A2591" w:rsidP="004A2591">
      <w:pPr>
        <w:pStyle w:val="ListBullet3"/>
      </w:pPr>
      <w:r w:rsidRPr="004A2591">
        <w:t>freeze frame data</w:t>
      </w:r>
    </w:p>
    <w:p w:rsidR="00000000" w:rsidRPr="004A2591" w:rsidP="004A2591">
      <w:pPr>
        <w:pStyle w:val="ListBullet3"/>
      </w:pPr>
      <w:r w:rsidRPr="004A2591">
        <w:t>waveforms</w:t>
      </w:r>
    </w:p>
    <w:p w:rsidR="00000000" w:rsidRPr="004A2591" w:rsidP="004A2591">
      <w:pPr>
        <w:pStyle w:val="ListBullet2"/>
      </w:pPr>
      <w:r w:rsidRPr="004A2591">
        <w:t>using diagnostic flow charts</w:t>
      </w:r>
    </w:p>
    <w:p w:rsidR="00000000" w:rsidRPr="004A2591" w:rsidP="004A2591">
      <w:pPr>
        <w:pStyle w:val="ListBullet2"/>
      </w:pPr>
      <w:r w:rsidRPr="004A2591">
        <w:t>testing electrical systems, including procedures for:</w:t>
      </w:r>
    </w:p>
    <w:p w:rsidR="00000000" w:rsidRPr="004A2591" w:rsidP="004A2591">
      <w:pPr>
        <w:pStyle w:val="ListBullet3"/>
      </w:pPr>
      <w:r w:rsidRPr="004A2591">
        <w:t>accessing electrical terminals and using test probes without damaging connectors, fuse holders or wiring</w:t>
      </w:r>
    </w:p>
    <w:p w:rsidR="00000000" w:rsidRPr="004A2591" w:rsidP="004A2591">
      <w:pPr>
        <w:pStyle w:val="ListBullet3"/>
      </w:pPr>
      <w:r w:rsidRPr="004A2591">
        <w:t>checking resistance, current flow and voltage instruments and warning systems</w:t>
      </w:r>
    </w:p>
    <w:p w:rsidR="00000000" w:rsidRPr="004A2591" w:rsidP="004A2591">
      <w:pPr>
        <w:pStyle w:val="ListBullet"/>
      </w:pPr>
      <w:r w:rsidRPr="004A2591">
        <w:t>repair procedures for instruments and warning systems, including:</w:t>
      </w:r>
    </w:p>
    <w:p w:rsidR="00000000" w:rsidRPr="004A2591" w:rsidP="004A2591">
      <w:pPr>
        <w:pStyle w:val="ListBullet2"/>
      </w:pPr>
      <w:r w:rsidRPr="004A2591">
        <w:t>tightening connections</w:t>
      </w:r>
    </w:p>
    <w:p w:rsidR="00000000" w:rsidRPr="004A2591" w:rsidP="004A2591">
      <w:pPr>
        <w:pStyle w:val="ListBullet2"/>
      </w:pPr>
      <w:r w:rsidRPr="004A2591">
        <w:t>replacing faulty or damaged cable connections</w:t>
      </w:r>
    </w:p>
    <w:p w:rsidR="00000000" w:rsidRPr="004A2591" w:rsidP="004A2591">
      <w:pPr>
        <w:pStyle w:val="ListBullet2"/>
      </w:pPr>
      <w:r w:rsidRPr="004A2591">
        <w:t>removing and replacing faulty or damaged components</w:t>
      </w:r>
    </w:p>
    <w:p w:rsidR="00000000" w:rsidRPr="004A2591" w:rsidP="004A2591">
      <w:pPr>
        <w:pStyle w:val="ListBullet"/>
      </w:pPr>
      <w:r w:rsidRPr="004A2591">
        <w:t>post-repair testing procedures for instruments and warning systems, including:</w:t>
      </w:r>
    </w:p>
    <w:p w:rsidR="00000000" w:rsidRPr="004A2591" w:rsidP="004A2591">
      <w:pPr>
        <w:pStyle w:val="ListBullet2"/>
      </w:pPr>
      <w:r w:rsidRPr="004A2591">
        <w:t>DTC clearing procedures</w:t>
      </w:r>
    </w:p>
    <w:p w:rsidR="00000000" w:rsidRPr="004A2591" w:rsidP="004A2591">
      <w:pPr>
        <w:pStyle w:val="ListBullet2"/>
      </w:pPr>
      <w:r w:rsidRPr="004A2591">
        <w:t xml:space="preserve">checking for electrical connector mating </w:t>
      </w:r>
    </w:p>
    <w:p w:rsidR="00000000" w:rsidRPr="004A2591" w:rsidP="004A2591">
      <w:pPr>
        <w:pStyle w:val="ListBullet2"/>
      </w:pPr>
      <w:r w:rsidRPr="004A2591">
        <w:t>undertaking static and dynamic performance tests of instr</w:t>
      </w:r>
      <w:r w:rsidRPr="004A2591">
        <w:t>uments and warning systems, including test-driving procedures.</w:t>
      </w:r>
    </w:p>
    <w:p w:rsidR="00000000" w:rsidRPr="004A2591" w:rsidP="004A2591">
      <w:pPr>
        <w:pStyle w:val="AllowPageBreak"/>
      </w:pPr>
    </w:p>
    <w:p w:rsidR="00000000" w:rsidRPr="004A2591" w:rsidP="004A2591">
      <w:pPr>
        <w:pStyle w:val="Heading1"/>
      </w:pPr>
      <w:bookmarkStart w:id="4" w:name="O_771428"/>
      <w:bookmarkEnd w:id="4"/>
      <w:r w:rsidRPr="004A2591">
        <w:t>Assessment Conditions</w:t>
      </w:r>
    </w:p>
    <w:p w:rsidR="00000000" w:rsidRPr="004A2591" w:rsidP="00892BF0">
      <w:pPr>
        <w:pStyle w:val="BodyText"/>
      </w:pPr>
      <w:r w:rsidRPr="004A2591">
        <w:t>Assessors must satisfy NVR/AQTF assessor requirements.</w:t>
      </w:r>
    </w:p>
    <w:p w:rsidR="00000000" w:rsidRPr="004A2591" w:rsidP="00892BF0">
      <w:pPr>
        <w:pStyle w:val="BodyText"/>
      </w:pPr>
      <w:r w:rsidRPr="004A2591">
        <w:t xml:space="preserve">Competency is to be assessed in the workplace or a simulated environment that accurately reflects </w:t>
      </w:r>
      <w:r w:rsidRPr="004A2591">
        <w:t>performance in a real workplace setting.</w:t>
      </w:r>
    </w:p>
    <w:p w:rsidR="00000000" w:rsidRPr="004A2591" w:rsidP="00892BF0">
      <w:pPr>
        <w:pStyle w:val="BodyText"/>
      </w:pPr>
      <w:r w:rsidRPr="004A2591">
        <w:t>Assessment must include direct observation of tasks.</w:t>
      </w:r>
    </w:p>
    <w:p w:rsidR="00000000" w:rsidRPr="004A2591" w:rsidP="00892BF0">
      <w:pPr>
        <w:pStyle w:val="BodyText"/>
      </w:pPr>
      <w:r w:rsidRPr="004A2591">
        <w:t>Where assessment of competency includes third-party evidence, individuals must provide evidence that links them to the instruments and warning systems that they have worked on, e.g. repair orders.</w:t>
      </w:r>
    </w:p>
    <w:p w:rsidR="00000000" w:rsidRPr="004A2591" w:rsidP="00892BF0">
      <w:pPr>
        <w:pStyle w:val="BodyText"/>
      </w:pPr>
      <w:r w:rsidRPr="004A2591">
        <w:t>Assessors must verify performance evidence through questio</w:t>
      </w:r>
      <w:r w:rsidRPr="004A2591">
        <w:t>ning on skills and knowledge to ensure correct interpretation and application.</w:t>
      </w:r>
    </w:p>
    <w:p w:rsidR="00000000" w:rsidRPr="004A2591" w:rsidP="00892BF0">
      <w:pPr>
        <w:pStyle w:val="BodyText"/>
      </w:pPr>
      <w:r w:rsidRPr="004A2591">
        <w:t>The following resources must be made available:</w:t>
      </w:r>
    </w:p>
    <w:p w:rsidR="00000000" w:rsidRPr="004A2591" w:rsidP="004A2591">
      <w:pPr>
        <w:pStyle w:val="ListBullet"/>
      </w:pPr>
      <w:r w:rsidRPr="004A2591">
        <w:t>automotive repair workplace or simulated workplace</w:t>
      </w:r>
    </w:p>
    <w:p w:rsidR="00000000" w:rsidRPr="004A2591" w:rsidP="004A2591">
      <w:pPr>
        <w:pStyle w:val="ListBullet"/>
      </w:pPr>
      <w:r w:rsidRPr="004A2591">
        <w:t>workplace instructions</w:t>
      </w:r>
    </w:p>
    <w:p w:rsidR="00000000" w:rsidRPr="004A2591" w:rsidP="004A2591">
      <w:pPr>
        <w:pStyle w:val="ListBullet"/>
      </w:pPr>
      <w:r w:rsidRPr="004A2591">
        <w:t>manufacturer instrument and warning system specificat</w:t>
      </w:r>
      <w:r w:rsidRPr="004A2591">
        <w:t>ions</w:t>
      </w:r>
    </w:p>
    <w:p w:rsidR="00000000" w:rsidRPr="004A2591" w:rsidP="004A2591">
      <w:pPr>
        <w:pStyle w:val="ListBullet"/>
      </w:pPr>
      <w:r w:rsidRPr="004A2591">
        <w:t>two different vehicles, vessels or machinery with instrument and warning system faults</w:t>
      </w:r>
    </w:p>
    <w:p w:rsidR="00000000" w:rsidRPr="004A2591" w:rsidP="004A2591">
      <w:pPr>
        <w:pStyle w:val="ListBullet"/>
      </w:pPr>
      <w:r w:rsidRPr="004A2591">
        <w:t xml:space="preserve">diagnostic equipment for instruments and warning systems, including multimeter </w:t>
      </w:r>
    </w:p>
    <w:p w:rsidR="00000000" w:rsidRPr="004A2591" w:rsidP="004A2591">
      <w:pPr>
        <w:pStyle w:val="ListBullet"/>
      </w:pPr>
      <w:r w:rsidRPr="004A2591">
        <w:t>tools, equipment and materials appropriate for repairing vehicle, vessel or machiner</w:t>
      </w:r>
      <w:r w:rsidRPr="004A2591">
        <w:t>y instruments and warning systems.</w:t>
      </w:r>
    </w:p>
    <w:p w:rsidR="00000000" w:rsidRPr="004A2591" w:rsidP="004A2591">
      <w:pPr>
        <w:pStyle w:val="AllowPageBreak"/>
      </w:pPr>
    </w:p>
    <w:p w:rsidR="00000000" w:rsidRPr="004A2591" w:rsidP="004A2591">
      <w:pPr>
        <w:pStyle w:val="Heading1"/>
      </w:pPr>
      <w:bookmarkStart w:id="5" w:name="O_771431"/>
      <w:bookmarkEnd w:id="5"/>
      <w:r w:rsidRPr="004A2591">
        <w:t>Links</w:t>
      </w:r>
    </w:p>
    <w:p w:rsidR="00000000" w:rsidRPr="004A2591" w:rsidP="00892BF0">
      <w:pPr>
        <w:pStyle w:val="BodyText"/>
      </w:pPr>
      <w:r w:rsidRPr="004A25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25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2591" w:rsidP="00892BF0">
      <w:pPr>
        <w:pStyle w:val="BodyText"/>
      </w:pPr>
      <w:r w:rsidRPr="004A2591">
        <w:t xml:space="preserve">Companion Volume implementation guides are found in </w:t>
      </w:r>
      <w:r w:rsidRPr="004A2591">
        <w:t xml:space="preserve">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25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A2591" w:rsidP="004A2591"/>
    <w:sectPr w:rsidSect="004A25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591" w:rsidRPr="00892BF0" w:rsidP="00892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F0" w:rsidP="004A2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BF0" w:rsidP="004A2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92BF0" w:rsidP="004A2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591" w:rsidRPr="00892BF0" w:rsidP="00892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F0" w:rsidRPr="002D2AF8" w:rsidP="004A2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AURETR028 Diagnose and repair instruments and warning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92BF0" w:rsidP="004A2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3A7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1C6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3A9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591"/>
  </w:style>
  <w:style w:type="character" w:customStyle="1" w:styleId="Heading1Char">
    <w:name w:val="Heading 1 Char"/>
    <w:basedOn w:val="DefaultParagraphFont"/>
    <w:link w:val="Heading1"/>
    <w:rsid w:val="004A2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5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591"/>
    <w:rPr>
      <w:b/>
      <w:spacing w:val="0"/>
    </w:rPr>
  </w:style>
  <w:style w:type="paragraph" w:styleId="ListBullet2">
    <w:name w:val="List Bullet 2"/>
    <w:basedOn w:val="List2"/>
    <w:rsid w:val="004A25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25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2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591"/>
    <w:rPr>
      <w:i/>
    </w:rPr>
  </w:style>
  <w:style w:type="paragraph" w:styleId="Caption">
    <w:name w:val="caption"/>
    <w:basedOn w:val="BodyText"/>
    <w:next w:val="Normal"/>
    <w:qFormat/>
    <w:rsid w:val="004A2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591"/>
  </w:style>
  <w:style w:type="paragraph" w:styleId="TableofFigures">
    <w:name w:val="table of figures"/>
    <w:basedOn w:val="Normal"/>
    <w:next w:val="Normal"/>
    <w:semiHidden/>
    <w:rsid w:val="004A2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5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2591"/>
    <w:rPr>
      <w:rFonts w:ascii="Wingdings" w:hAnsi="Wingdings"/>
    </w:rPr>
  </w:style>
  <w:style w:type="paragraph" w:customStyle="1" w:styleId="TableHeading">
    <w:name w:val="Table Heading"/>
    <w:basedOn w:val="HeadingBase"/>
    <w:rsid w:val="004A2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591"/>
    <w:rPr>
      <w:color w:val="0033CC"/>
      <w:u w:val="none"/>
    </w:rPr>
  </w:style>
  <w:style w:type="paragraph" w:customStyle="1" w:styleId="BodyTextRight">
    <w:name w:val="Body Text Right"/>
    <w:basedOn w:val="BodyText"/>
    <w:rsid w:val="004A2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5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591"/>
    <w:rPr>
      <w:sz w:val="32"/>
    </w:rPr>
  </w:style>
  <w:style w:type="paragraph" w:customStyle="1" w:styleId="HeadingProcedure">
    <w:name w:val="Heading Procedure"/>
    <w:basedOn w:val="HeadingBase"/>
    <w:next w:val="Normal"/>
    <w:rsid w:val="004A2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591"/>
    <w:pPr>
      <w:spacing w:before="60" w:after="60"/>
    </w:pPr>
  </w:style>
  <w:style w:type="paragraph" w:styleId="ListContinue">
    <w:name w:val="List Continue"/>
    <w:basedOn w:val="List"/>
    <w:rsid w:val="004A2591"/>
    <w:pPr>
      <w:ind w:firstLine="0"/>
    </w:pPr>
  </w:style>
  <w:style w:type="paragraph" w:customStyle="1" w:styleId="ListNote">
    <w:name w:val="List Note"/>
    <w:basedOn w:val="List"/>
    <w:rsid w:val="004A2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591"/>
    <w:rPr>
      <w:rFonts w:ascii="Courier New" w:hAnsi="Courier New"/>
    </w:rPr>
  </w:style>
  <w:style w:type="paragraph" w:customStyle="1" w:styleId="NoteBullet">
    <w:name w:val="Note Bullet"/>
    <w:basedOn w:val="Note"/>
    <w:rsid w:val="004A2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5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2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591"/>
    <w:rPr>
      <w:b/>
      <w:smallCaps/>
    </w:rPr>
  </w:style>
  <w:style w:type="paragraph" w:customStyle="1" w:styleId="TableListNumber">
    <w:name w:val="Table List Number"/>
    <w:basedOn w:val="ListNumber"/>
    <w:rsid w:val="004A2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591"/>
    <w:pPr>
      <w:numPr>
        <w:numId w:val="10"/>
      </w:numPr>
    </w:pPr>
  </w:style>
  <w:style w:type="paragraph" w:customStyle="1" w:styleId="ListAlpha2">
    <w:name w:val="List Alpha 2"/>
    <w:basedOn w:val="List2"/>
    <w:rsid w:val="004A2591"/>
    <w:pPr>
      <w:numPr>
        <w:numId w:val="9"/>
      </w:numPr>
    </w:pPr>
  </w:style>
  <w:style w:type="paragraph" w:styleId="List2">
    <w:name w:val="List 2"/>
    <w:basedOn w:val="BodyText"/>
    <w:rsid w:val="004A2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5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25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2591"/>
    <w:pPr>
      <w:numPr>
        <w:numId w:val="5"/>
      </w:numPr>
    </w:pPr>
  </w:style>
  <w:style w:type="paragraph" w:styleId="ListContinue2">
    <w:name w:val="List Continue 2"/>
    <w:basedOn w:val="List2"/>
    <w:rsid w:val="004A2591"/>
    <w:pPr>
      <w:ind w:firstLine="0"/>
    </w:pPr>
  </w:style>
  <w:style w:type="paragraph" w:styleId="ListContinue3">
    <w:name w:val="List Continue 3"/>
    <w:basedOn w:val="List3"/>
    <w:rsid w:val="004A2591"/>
    <w:pPr>
      <w:ind w:left="1021" w:firstLine="0"/>
    </w:pPr>
  </w:style>
  <w:style w:type="paragraph" w:styleId="ListContinue4">
    <w:name w:val="List Continue 4"/>
    <w:basedOn w:val="List4"/>
    <w:rsid w:val="004A2591"/>
    <w:pPr>
      <w:ind w:firstLine="0"/>
    </w:pPr>
  </w:style>
  <w:style w:type="paragraph" w:styleId="ListContinue5">
    <w:name w:val="List Continue 5"/>
    <w:basedOn w:val="List5"/>
    <w:rsid w:val="004A2591"/>
    <w:pPr>
      <w:ind w:firstLine="0"/>
    </w:pPr>
  </w:style>
  <w:style w:type="paragraph" w:styleId="ListNumber3">
    <w:name w:val="List Number 3"/>
    <w:basedOn w:val="List3"/>
    <w:rsid w:val="004A2591"/>
    <w:pPr>
      <w:numPr>
        <w:numId w:val="6"/>
      </w:numPr>
    </w:pPr>
  </w:style>
  <w:style w:type="paragraph" w:styleId="ListNumber4">
    <w:name w:val="List Number 4"/>
    <w:basedOn w:val="List4"/>
    <w:rsid w:val="004A2591"/>
    <w:pPr>
      <w:numPr>
        <w:numId w:val="7"/>
      </w:numPr>
    </w:pPr>
  </w:style>
  <w:style w:type="paragraph" w:styleId="ListNumber5">
    <w:name w:val="List Number 5"/>
    <w:basedOn w:val="List5"/>
    <w:rsid w:val="004A2591"/>
    <w:pPr>
      <w:numPr>
        <w:numId w:val="8"/>
      </w:numPr>
    </w:pPr>
  </w:style>
  <w:style w:type="paragraph" w:styleId="BlockText">
    <w:name w:val="Block Text"/>
    <w:basedOn w:val="Normal"/>
    <w:rsid w:val="004A2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591"/>
    <w:rPr>
      <w:sz w:val="16"/>
      <w:vertAlign w:val="superscript"/>
    </w:rPr>
  </w:style>
  <w:style w:type="character" w:customStyle="1" w:styleId="Symbols">
    <w:name w:val="Symbols"/>
    <w:basedOn w:val="DefaultParagraphFont"/>
    <w:rsid w:val="004A2591"/>
    <w:rPr>
      <w:rFonts w:ascii="Symbol" w:hAnsi="Symbol"/>
    </w:rPr>
  </w:style>
  <w:style w:type="character" w:customStyle="1" w:styleId="MenuOptions">
    <w:name w:val="Menu Options"/>
    <w:basedOn w:val="DefaultParagraphFont"/>
    <w:rsid w:val="004A2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591"/>
    <w:rPr>
      <w:b/>
    </w:rPr>
  </w:style>
  <w:style w:type="character" w:customStyle="1" w:styleId="Underlined">
    <w:name w:val="Underlined"/>
    <w:basedOn w:val="DefaultParagraphFont"/>
    <w:rsid w:val="004A2591"/>
    <w:rPr>
      <w:u w:val="single"/>
    </w:rPr>
  </w:style>
  <w:style w:type="paragraph" w:customStyle="1" w:styleId="TableBodyTextRight">
    <w:name w:val="Table Body Text Right"/>
    <w:basedOn w:val="TableBodyText"/>
    <w:rsid w:val="004A2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591"/>
    <w:rPr>
      <w:sz w:val="18"/>
    </w:rPr>
  </w:style>
  <w:style w:type="paragraph" w:customStyle="1" w:styleId="BodySmallRight">
    <w:name w:val="Body Small Right"/>
    <w:basedOn w:val="BodyTextRight"/>
    <w:rsid w:val="004A2591"/>
    <w:rPr>
      <w:sz w:val="18"/>
      <w:szCs w:val="18"/>
    </w:rPr>
  </w:style>
  <w:style w:type="paragraph" w:customStyle="1" w:styleId="MarginEdition">
    <w:name w:val="Margin Edition"/>
    <w:basedOn w:val="MarginNote"/>
    <w:rsid w:val="004A2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591"/>
    <w:rPr>
      <w:sz w:val="2"/>
      <w:szCs w:val="2"/>
    </w:rPr>
  </w:style>
  <w:style w:type="character" w:customStyle="1" w:styleId="Small">
    <w:name w:val="Small"/>
    <w:basedOn w:val="DefaultParagraphFont"/>
    <w:rsid w:val="004A2591"/>
    <w:rPr>
      <w:sz w:val="16"/>
    </w:rPr>
  </w:style>
  <w:style w:type="paragraph" w:customStyle="1" w:styleId="WideTable">
    <w:name w:val="Wide Table"/>
    <w:basedOn w:val="Normal"/>
    <w:rsid w:val="004A2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591"/>
  </w:style>
  <w:style w:type="paragraph" w:styleId="Quote">
    <w:name w:val="Quote"/>
    <w:basedOn w:val="Heading1"/>
    <w:link w:val="QuoteChar"/>
    <w:qFormat/>
    <w:rsid w:val="004A2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591"/>
    <w:pPr>
      <w:pageBreakBefore/>
    </w:pPr>
  </w:style>
  <w:style w:type="paragraph" w:customStyle="1" w:styleId="Border">
    <w:name w:val="Border"/>
    <w:basedOn w:val="Normal"/>
    <w:qFormat/>
    <w:rsid w:val="004A2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591"/>
    <w:rPr>
      <w:u w:val="single"/>
    </w:rPr>
  </w:style>
  <w:style w:type="character" w:customStyle="1" w:styleId="BoldandItalics">
    <w:name w:val="Bold and Italics"/>
    <w:qFormat/>
    <w:rsid w:val="004A2591"/>
    <w:rPr>
      <w:b/>
      <w:i/>
      <w:u w:val="none"/>
    </w:rPr>
  </w:style>
  <w:style w:type="paragraph" w:styleId="BalloonText">
    <w:name w:val="Balloon Text"/>
    <w:basedOn w:val="Normal"/>
    <w:link w:val="BalloonTextChar"/>
    <w:rsid w:val="004A2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591"/>
    <w:pPr>
      <w:spacing w:before="0" w:after="0"/>
    </w:pPr>
  </w:style>
  <w:style w:type="paragraph" w:customStyle="1" w:styleId="BodyTextBold">
    <w:name w:val="Body Text Bold"/>
    <w:basedOn w:val="BodyText"/>
    <w:qFormat/>
    <w:rsid w:val="004A2591"/>
    <w:rPr>
      <w:b/>
    </w:rPr>
  </w:style>
  <w:style w:type="character" w:styleId="Hyperlink">
    <w:name w:val="Hyperlink"/>
    <w:basedOn w:val="DefaultParagraphFont"/>
    <w:uiPriority w:val="99"/>
    <w:unhideWhenUsed/>
    <w:rsid w:val="00892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3667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AURETR028 Diagnose and repair instruments and warning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