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715" w:rsidP="00486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AURETR027 Install ancillary electronic systems and components</w:t>
      </w:r>
      <w:r>
        <w:fldChar w:fldCharType="end"/>
      </w:r>
    </w:p>
    <w:p w:rsidR="00486715" w:rsidP="00486715">
      <w:pPr>
        <w:pStyle w:val="Version"/>
        <w:sectPr w:rsidSect="00D97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5FF" w:rsidP="00D975FF">
      <w:pPr>
        <w:pStyle w:val="SuperHeading"/>
      </w:pPr>
      <w:r w:rsidRPr="00D975FF">
        <w:t>Assessment Requirements for AURETR027 Install ancillary electronic systems and components</w:t>
      </w:r>
    </w:p>
    <w:p w:rsidR="00000000" w:rsidRPr="00D975FF" w:rsidP="00D975FF">
      <w:pPr>
        <w:pStyle w:val="Heading1"/>
      </w:pPr>
      <w:bookmarkStart w:id="1" w:name="O_786258"/>
      <w:bookmarkEnd w:id="1"/>
      <w:r w:rsidRPr="00D975F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867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FF" w:rsidP="00D975FF">
            <w:pPr>
              <w:pStyle w:val="BodyText"/>
            </w:pPr>
            <w:r w:rsidRPr="00D975F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FF">
            <w:pPr>
              <w:pStyle w:val="BodyText"/>
              <w:rPr>
                <w:lang w:val="en-NZ"/>
              </w:rPr>
            </w:pPr>
            <w:r w:rsidRPr="00D975FF">
              <w:rPr>
                <w:rStyle w:val="SpecialBold"/>
              </w:rPr>
              <w:t>Comment</w:t>
            </w:r>
          </w:p>
        </w:tc>
      </w:tr>
      <w:tr w:rsidTr="004867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FF">
            <w:pPr>
              <w:pStyle w:val="BodyText"/>
              <w:rPr>
                <w:lang w:val="en-NZ"/>
              </w:rPr>
            </w:pPr>
            <w:r w:rsidRPr="00D975F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FF" w:rsidP="00D975FF">
            <w:pPr>
              <w:pStyle w:val="BodyText"/>
            </w:pPr>
            <w:r w:rsidRPr="00D975FF">
              <w:t>New unit of competency.</w:t>
            </w:r>
          </w:p>
        </w:tc>
      </w:tr>
    </w:tbl>
    <w:p w:rsidR="00000000" w:rsidRPr="00D975FF" w:rsidP="00D975FF">
      <w:pPr>
        <w:pStyle w:val="BodyText"/>
      </w:pPr>
    </w:p>
    <w:p w:rsidR="00000000" w:rsidRPr="00D975FF" w:rsidP="00D975FF">
      <w:pPr>
        <w:pStyle w:val="AllowPageBreak"/>
      </w:pPr>
    </w:p>
    <w:p w:rsidR="00000000" w:rsidRPr="00D975FF" w:rsidP="00D975FF">
      <w:pPr>
        <w:pStyle w:val="Heading1"/>
      </w:pPr>
      <w:bookmarkStart w:id="2" w:name="O_786259"/>
      <w:bookmarkEnd w:id="2"/>
      <w:r w:rsidRPr="00D975FF">
        <w:t>Performance Evidence</w:t>
      </w:r>
    </w:p>
    <w:p w:rsidR="00000000" w:rsidRPr="00D975FF" w:rsidP="00486715">
      <w:pPr>
        <w:pStyle w:val="BodyText"/>
      </w:pPr>
      <w:r w:rsidRPr="00D975FF">
        <w:t>Before competen</w:t>
      </w:r>
      <w:r w:rsidRPr="00D975FF">
        <w:t>cy can be determined, individuals must demonstrate they can perform the following according to the standard defined in the unit’s elements and performance criteria, range of conditions and foundation skills:</w:t>
      </w:r>
    </w:p>
    <w:p w:rsidR="00000000" w:rsidRPr="00D975FF" w:rsidP="00D975FF">
      <w:pPr>
        <w:pStyle w:val="ListBullet"/>
      </w:pPr>
      <w:r w:rsidRPr="00D975FF">
        <w:t>install two ancillary electronic systems and co</w:t>
      </w:r>
      <w:r w:rsidRPr="00D975FF">
        <w:t>mponents that require communication with the vehicle or machinery controller area network data bus (CAN-bus) topography of different vehicles.</w:t>
      </w:r>
    </w:p>
    <w:p w:rsidR="00000000" w:rsidRPr="00D975FF" w:rsidP="00D975FF">
      <w:pPr>
        <w:pStyle w:val="AllowPageBreak"/>
      </w:pPr>
    </w:p>
    <w:p w:rsidR="00000000" w:rsidRPr="00D975FF" w:rsidP="00D975FF">
      <w:pPr>
        <w:pStyle w:val="Heading1"/>
      </w:pPr>
      <w:bookmarkStart w:id="3" w:name="O_786260"/>
      <w:bookmarkEnd w:id="3"/>
      <w:r w:rsidRPr="00D975FF">
        <w:t>Knowledge Evidence</w:t>
      </w:r>
    </w:p>
    <w:p w:rsidR="00000000" w:rsidRPr="00D975FF" w:rsidP="00486715">
      <w:pPr>
        <w:pStyle w:val="BodyText"/>
      </w:pPr>
      <w:r w:rsidRPr="00D975FF">
        <w:t>Individuals must be able to demonstrate knowledge of:</w:t>
      </w:r>
    </w:p>
    <w:p w:rsidR="00000000" w:rsidRPr="00D975FF" w:rsidP="00D975FF">
      <w:pPr>
        <w:pStyle w:val="ListBullet"/>
      </w:pPr>
      <w:r w:rsidRPr="00D975FF">
        <w:t>work health and safety (WHS) and occupational health and safety (OHS) requirements relating to installing ancillary electronic systems and components, including procedures for:</w:t>
      </w:r>
    </w:p>
    <w:p w:rsidR="00000000" w:rsidRPr="00D975FF" w:rsidP="00D975FF">
      <w:pPr>
        <w:pStyle w:val="ListBullet2"/>
      </w:pPr>
      <w:r w:rsidRPr="00D975FF">
        <w:t>using specialised tools and equipment</w:t>
      </w:r>
    </w:p>
    <w:p w:rsidR="00000000" w:rsidRPr="00D975FF" w:rsidP="00D975FF">
      <w:pPr>
        <w:pStyle w:val="ListBullet2"/>
      </w:pPr>
      <w:r w:rsidRPr="00D975FF">
        <w:t>selecting and using appropriate personal</w:t>
      </w:r>
      <w:r w:rsidRPr="00D975FF">
        <w:t xml:space="preserve"> protective equipment (PPE)</w:t>
      </w:r>
    </w:p>
    <w:p w:rsidR="00000000" w:rsidRPr="00D975FF" w:rsidP="00D975FF">
      <w:pPr>
        <w:pStyle w:val="ListBullet2"/>
      </w:pPr>
      <w:r w:rsidRPr="00D975FF">
        <w:t>identifying hazards and controlling risks associated with:</w:t>
      </w:r>
    </w:p>
    <w:p w:rsidR="00000000" w:rsidRPr="00D975FF" w:rsidP="00D975FF">
      <w:pPr>
        <w:pStyle w:val="ListBullet3"/>
      </w:pPr>
      <w:r w:rsidRPr="00D975FF">
        <w:t>working on high voltage ignition systems</w:t>
      </w:r>
    </w:p>
    <w:p w:rsidR="00000000" w:rsidRPr="00D975FF" w:rsidP="00D975FF">
      <w:pPr>
        <w:pStyle w:val="ListBullet3"/>
      </w:pPr>
      <w:r w:rsidRPr="00D975FF">
        <w:t>wearing jewellery while working around high current wiring systems</w:t>
      </w:r>
    </w:p>
    <w:p w:rsidR="00000000" w:rsidRPr="00D975FF" w:rsidP="00D975FF">
      <w:pPr>
        <w:pStyle w:val="ListBullet"/>
      </w:pPr>
      <w:r w:rsidRPr="00D975FF">
        <w:t>types and basic operation of common ancillary electronic systems and components, including:</w:t>
      </w:r>
    </w:p>
    <w:p w:rsidR="00000000" w:rsidRPr="00D975FF" w:rsidP="00D975FF">
      <w:pPr>
        <w:pStyle w:val="ListBullet2"/>
      </w:pPr>
      <w:r w:rsidRPr="00D975FF">
        <w:t>driver interlocks, including alcohol interlock devices</w:t>
      </w:r>
    </w:p>
    <w:p w:rsidR="00000000" w:rsidRPr="00D975FF" w:rsidP="00D975FF">
      <w:pPr>
        <w:pStyle w:val="ListBullet2"/>
      </w:pPr>
      <w:r w:rsidRPr="00D975FF">
        <w:t>remote keyless entry systems</w:t>
      </w:r>
    </w:p>
    <w:p w:rsidR="00000000" w:rsidRPr="00D975FF" w:rsidP="00D975FF">
      <w:pPr>
        <w:pStyle w:val="ListBullet2"/>
      </w:pPr>
      <w:r w:rsidRPr="00D975FF">
        <w:t>security alarm systems</w:t>
      </w:r>
    </w:p>
    <w:p w:rsidR="00000000" w:rsidRPr="00D975FF" w:rsidP="00D975FF">
      <w:pPr>
        <w:pStyle w:val="ListBullet2"/>
      </w:pPr>
      <w:r w:rsidRPr="00D975FF">
        <w:t>audio systems</w:t>
      </w:r>
    </w:p>
    <w:p w:rsidR="00000000" w:rsidRPr="00D975FF" w:rsidP="00D975FF">
      <w:pPr>
        <w:pStyle w:val="ListBullet2"/>
      </w:pPr>
      <w:r w:rsidRPr="00D975FF">
        <w:t>mobile phones</w:t>
      </w:r>
    </w:p>
    <w:p w:rsidR="00000000" w:rsidRPr="00D975FF" w:rsidP="00D975FF">
      <w:pPr>
        <w:pStyle w:val="ListBullet2"/>
      </w:pPr>
      <w:r w:rsidRPr="00D975FF">
        <w:t>speed alert systems</w:t>
      </w:r>
    </w:p>
    <w:p w:rsidR="00000000" w:rsidRPr="00D975FF" w:rsidP="00D975FF">
      <w:pPr>
        <w:pStyle w:val="ListBullet2"/>
      </w:pPr>
      <w:r w:rsidRPr="00D975FF">
        <w:t>navigation systems</w:t>
      </w:r>
    </w:p>
    <w:p w:rsidR="00000000" w:rsidRPr="00D975FF" w:rsidP="00D975FF">
      <w:pPr>
        <w:pStyle w:val="ListBullet2"/>
      </w:pPr>
      <w:r w:rsidRPr="00D975FF">
        <w:t>reverse parking aids, including sensors, audible alerts and cameras</w:t>
      </w:r>
    </w:p>
    <w:p w:rsidR="00000000" w:rsidRPr="00D975FF" w:rsidP="00D975FF">
      <w:pPr>
        <w:pStyle w:val="ListBullet2"/>
      </w:pPr>
      <w:r w:rsidRPr="00D975FF">
        <w:t>driver gauges and instruments</w:t>
      </w:r>
    </w:p>
    <w:p w:rsidR="00000000" w:rsidRPr="00D975FF" w:rsidP="00D975FF">
      <w:pPr>
        <w:pStyle w:val="ListBullet2"/>
      </w:pPr>
      <w:r w:rsidRPr="00D975FF">
        <w:t>trailer harness connectors</w:t>
      </w:r>
    </w:p>
    <w:p w:rsidR="00000000" w:rsidRPr="00D975FF" w:rsidP="00D975FF">
      <w:pPr>
        <w:pStyle w:val="ListBullet"/>
      </w:pPr>
      <w:r w:rsidRPr="00D975FF">
        <w:t>types of vehicle and machinery communication networks, including:</w:t>
      </w:r>
    </w:p>
    <w:p w:rsidR="00000000" w:rsidRPr="00D975FF" w:rsidP="00D975FF">
      <w:pPr>
        <w:pStyle w:val="ListBullet2"/>
      </w:pPr>
      <w:r w:rsidRPr="00D975FF">
        <w:t>controller area network (CAN)</w:t>
      </w:r>
    </w:p>
    <w:p w:rsidR="00000000" w:rsidRPr="00D975FF" w:rsidP="00D975FF">
      <w:pPr>
        <w:pStyle w:val="ListBullet2"/>
      </w:pPr>
      <w:r w:rsidRPr="00D975FF">
        <w:t>local intercon</w:t>
      </w:r>
      <w:r w:rsidRPr="00D975FF">
        <w:t>nect network (LIN)</w:t>
      </w:r>
    </w:p>
    <w:p w:rsidR="00000000" w:rsidRPr="00D975FF" w:rsidP="00D975FF">
      <w:pPr>
        <w:pStyle w:val="ListBullet2"/>
      </w:pPr>
      <w:r w:rsidRPr="00D975FF">
        <w:t>media oriented systems transport (MOST)</w:t>
      </w:r>
    </w:p>
    <w:p w:rsidR="00000000" w:rsidRPr="00D975FF" w:rsidP="00D975FF">
      <w:pPr>
        <w:pStyle w:val="ListBullet"/>
      </w:pPr>
      <w:r w:rsidRPr="00D975FF">
        <w:t>types of communication network wiring, including:</w:t>
      </w:r>
    </w:p>
    <w:p w:rsidR="00000000" w:rsidRPr="00D975FF" w:rsidP="00D975FF">
      <w:pPr>
        <w:pStyle w:val="ListBullet2"/>
      </w:pPr>
      <w:r w:rsidRPr="00D975FF">
        <w:t>single wire</w:t>
      </w:r>
    </w:p>
    <w:p w:rsidR="00000000" w:rsidRPr="00D975FF" w:rsidP="00D975FF">
      <w:pPr>
        <w:pStyle w:val="ListBullet2"/>
      </w:pPr>
      <w:r w:rsidRPr="00D975FF">
        <w:t>two wire twisted pair</w:t>
      </w:r>
    </w:p>
    <w:p w:rsidR="00000000" w:rsidRPr="00D975FF" w:rsidP="00D975FF">
      <w:pPr>
        <w:pStyle w:val="ListBullet2"/>
      </w:pPr>
      <w:r w:rsidRPr="00D975FF">
        <w:t>shielded wire</w:t>
      </w:r>
    </w:p>
    <w:p w:rsidR="00000000" w:rsidRPr="00D975FF" w:rsidP="00D975FF">
      <w:pPr>
        <w:pStyle w:val="ListBullet"/>
      </w:pPr>
      <w:r w:rsidRPr="00D975FF">
        <w:t>procedures for installing basic ancillary electronic systems and components, including:</w:t>
      </w:r>
    </w:p>
    <w:p w:rsidR="00000000" w:rsidRPr="00D975FF" w:rsidP="00D975FF">
      <w:pPr>
        <w:pStyle w:val="ListBullet2"/>
      </w:pPr>
      <w:r w:rsidRPr="00D975FF">
        <w:t>techniq</w:t>
      </w:r>
      <w:r w:rsidRPr="00D975FF">
        <w:t>ues for reading and interpreting technical information, wiring diagrams and graphic symbols</w:t>
      </w:r>
    </w:p>
    <w:p w:rsidR="00000000" w:rsidRPr="00D975FF" w:rsidP="00D975FF">
      <w:pPr>
        <w:pStyle w:val="ListBullet2"/>
      </w:pPr>
      <w:r w:rsidRPr="00D975FF">
        <w:t>methods of determining wiring and connection type and size for system</w:t>
      </w:r>
    </w:p>
    <w:p w:rsidR="00000000" w:rsidRPr="00D975FF" w:rsidP="00D975FF">
      <w:pPr>
        <w:pStyle w:val="ListBullet2"/>
      </w:pPr>
      <w:r w:rsidRPr="00D975FF">
        <w:t>methods of determining placement of components on vehicle or machinery</w:t>
      </w:r>
    </w:p>
    <w:p w:rsidR="00000000" w:rsidRPr="00D975FF" w:rsidP="00D975FF">
      <w:pPr>
        <w:pStyle w:val="ListBullet2"/>
      </w:pPr>
      <w:r w:rsidRPr="00D975FF">
        <w:t>methods of connecting system and components to existing electrical system without causing damage or problems, including:</w:t>
      </w:r>
    </w:p>
    <w:p w:rsidR="00000000" w:rsidRPr="00D975FF" w:rsidP="00D975FF">
      <w:pPr>
        <w:pStyle w:val="ListBullet3"/>
      </w:pPr>
      <w:r w:rsidRPr="00D975FF">
        <w:t>selecting and soldering wires</w:t>
      </w:r>
    </w:p>
    <w:p w:rsidR="00000000" w:rsidRPr="00D975FF" w:rsidP="00D975FF">
      <w:pPr>
        <w:pStyle w:val="ListBullet3"/>
      </w:pPr>
      <w:r w:rsidRPr="00D975FF">
        <w:t>selecting and crimping terminals</w:t>
      </w:r>
    </w:p>
    <w:p w:rsidR="00000000" w:rsidRPr="00D975FF" w:rsidP="00D975FF">
      <w:pPr>
        <w:pStyle w:val="ListBullet3"/>
      </w:pPr>
      <w:r w:rsidRPr="00D975FF">
        <w:t>removing and replacing connectors</w:t>
      </w:r>
    </w:p>
    <w:p w:rsidR="00000000" w:rsidRPr="00D975FF" w:rsidP="00D975FF">
      <w:pPr>
        <w:pStyle w:val="ListBullet3"/>
      </w:pPr>
      <w:r w:rsidRPr="00D975FF">
        <w:t>removing and replacing existing elect</w:t>
      </w:r>
      <w:r w:rsidRPr="00D975FF">
        <w:t>rical components</w:t>
      </w:r>
    </w:p>
    <w:p w:rsidR="00000000" w:rsidRPr="00D975FF" w:rsidP="00D975FF">
      <w:pPr>
        <w:pStyle w:val="ListBullet2"/>
      </w:pPr>
      <w:r w:rsidRPr="00D975FF">
        <w:t>procedures for sourcing and using programming code to allow communication between installed system and existing vehicle or machinery systems</w:t>
      </w:r>
    </w:p>
    <w:p w:rsidR="00000000" w:rsidRPr="00D975FF" w:rsidP="00D975FF">
      <w:pPr>
        <w:pStyle w:val="ListBullet"/>
      </w:pPr>
      <w:r w:rsidRPr="00D975FF">
        <w:t>post-installation testing procedures of basic ancillary electronic systems and components, inclu</w:t>
      </w:r>
      <w:r w:rsidRPr="00D975FF">
        <w:t>ding procedures for checking:</w:t>
      </w:r>
    </w:p>
    <w:p w:rsidR="00000000" w:rsidRPr="00D975FF" w:rsidP="00D975FF">
      <w:pPr>
        <w:pStyle w:val="ListBullet2"/>
      </w:pPr>
      <w:r w:rsidRPr="00D975FF">
        <w:t>full operation of installed system</w:t>
      </w:r>
    </w:p>
    <w:p w:rsidR="00000000" w:rsidRPr="00D975FF" w:rsidP="00D975FF">
      <w:pPr>
        <w:pStyle w:val="ListBullet2"/>
      </w:pPr>
      <w:r w:rsidRPr="00D975FF">
        <w:t>operation of existing electrical and electronic systems.</w:t>
      </w:r>
    </w:p>
    <w:p w:rsidR="00000000" w:rsidRPr="00D975FF" w:rsidP="00D975FF">
      <w:pPr>
        <w:pStyle w:val="AllowPageBreak"/>
      </w:pPr>
    </w:p>
    <w:p w:rsidR="00000000" w:rsidRPr="00D975FF" w:rsidP="00D975FF">
      <w:pPr>
        <w:pStyle w:val="Heading1"/>
      </w:pPr>
      <w:bookmarkStart w:id="4" w:name="O_786261"/>
      <w:bookmarkEnd w:id="4"/>
      <w:r w:rsidRPr="00D975FF">
        <w:t>Assessment Conditions</w:t>
      </w:r>
    </w:p>
    <w:p w:rsidR="00000000" w:rsidRPr="00D975FF" w:rsidP="00486715">
      <w:pPr>
        <w:pStyle w:val="BodyText"/>
      </w:pPr>
      <w:r w:rsidRPr="00D975FF">
        <w:t>Assessors must satisfy NVR/AQTF assessor requirements.</w:t>
      </w:r>
    </w:p>
    <w:p w:rsidR="00000000" w:rsidRPr="00D975FF" w:rsidP="00486715">
      <w:pPr>
        <w:pStyle w:val="BodyText"/>
      </w:pPr>
      <w:r w:rsidRPr="00D975FF">
        <w:t>Competency is to be assessed in the workplace or a simulated environment that accurately reflects performance in a real workplace setting.</w:t>
      </w:r>
    </w:p>
    <w:p w:rsidR="00000000" w:rsidRPr="00D975FF" w:rsidP="00486715">
      <w:pPr>
        <w:pStyle w:val="BodyText"/>
      </w:pPr>
      <w:r w:rsidRPr="00D975FF">
        <w:t>Assessment must be by direct observation of tasks.</w:t>
      </w:r>
    </w:p>
    <w:p w:rsidR="00000000" w:rsidRPr="00D975FF" w:rsidP="00486715">
      <w:pPr>
        <w:pStyle w:val="BodyText"/>
      </w:pPr>
      <w:r w:rsidRPr="00D975FF">
        <w:t>Where assessment of competency includes third-party evidence, in</w:t>
      </w:r>
      <w:r w:rsidRPr="00D975FF">
        <w:t>dividuals must provide evidence that links them to the ancillary electronic systems and components that they have installed in vehicles or machinery, e.g. work orders.</w:t>
      </w:r>
    </w:p>
    <w:p w:rsidR="00000000" w:rsidRPr="00D975FF" w:rsidP="00486715">
      <w:pPr>
        <w:pStyle w:val="BodyText"/>
      </w:pPr>
      <w:r w:rsidRPr="00D975FF">
        <w:t xml:space="preserve">Assessors must verify performance evidence through questioning on skills and knowledge </w:t>
      </w:r>
      <w:r w:rsidRPr="00D975FF">
        <w:t>to ensure correct interpretation and application.</w:t>
      </w:r>
    </w:p>
    <w:p w:rsidR="00000000" w:rsidRPr="00D975FF" w:rsidP="00486715">
      <w:pPr>
        <w:pStyle w:val="BodyText"/>
      </w:pPr>
      <w:r w:rsidRPr="00D975FF">
        <w:t>The following resources must be made available:</w:t>
      </w:r>
    </w:p>
    <w:p w:rsidR="00000000" w:rsidRPr="00D975FF" w:rsidP="00D975FF">
      <w:pPr>
        <w:pStyle w:val="ListBullet"/>
      </w:pPr>
      <w:r w:rsidRPr="00D975FF">
        <w:t>automotive service and repair workplace or simulated workplace</w:t>
      </w:r>
    </w:p>
    <w:p w:rsidR="00000000" w:rsidRPr="00D975FF" w:rsidP="00D975FF">
      <w:pPr>
        <w:pStyle w:val="ListBullet"/>
      </w:pPr>
      <w:r w:rsidRPr="00D975FF">
        <w:t>workplace instructions</w:t>
      </w:r>
    </w:p>
    <w:p w:rsidR="00000000" w:rsidRPr="00D975FF" w:rsidP="00D975FF">
      <w:pPr>
        <w:pStyle w:val="ListBullet"/>
      </w:pPr>
      <w:r w:rsidRPr="00D975FF">
        <w:t>vehicle and machinery wiring specifications relevan</w:t>
      </w:r>
      <w:r w:rsidRPr="00D975FF">
        <w:t>t to systems and components being installed</w:t>
      </w:r>
    </w:p>
    <w:p w:rsidR="00000000" w:rsidRPr="00D975FF" w:rsidP="00D975FF">
      <w:pPr>
        <w:pStyle w:val="ListBullet"/>
      </w:pPr>
      <w:r w:rsidRPr="00D975FF">
        <w:t>manufacturer ancillary electronic system specifications</w:t>
      </w:r>
    </w:p>
    <w:p w:rsidR="00000000" w:rsidRPr="00D975FF" w:rsidP="00D975FF">
      <w:pPr>
        <w:pStyle w:val="ListBullet"/>
      </w:pPr>
      <w:r w:rsidRPr="00D975FF">
        <w:t>two different vehicles or machinery requiring installation of ancillary electronic systems and components</w:t>
      </w:r>
    </w:p>
    <w:p w:rsidR="00000000" w:rsidRPr="00D975FF" w:rsidP="00D975FF">
      <w:pPr>
        <w:pStyle w:val="ListBullet"/>
      </w:pPr>
      <w:r w:rsidRPr="00D975FF">
        <w:t>tools, equipment and materials appropriate for ins</w:t>
      </w:r>
      <w:r w:rsidRPr="00D975FF">
        <w:t>talling ancillary electronic systems and components.</w:t>
      </w:r>
    </w:p>
    <w:p w:rsidR="00000000" w:rsidRPr="00D975FF" w:rsidP="00D975FF">
      <w:pPr>
        <w:pStyle w:val="AllowPageBreak"/>
      </w:pPr>
    </w:p>
    <w:p w:rsidR="00000000" w:rsidRPr="00D975FF" w:rsidP="00D975FF">
      <w:pPr>
        <w:pStyle w:val="Heading1"/>
      </w:pPr>
      <w:bookmarkStart w:id="5" w:name="O_786264"/>
      <w:bookmarkEnd w:id="5"/>
      <w:r w:rsidRPr="00D975FF">
        <w:t>Links</w:t>
      </w:r>
    </w:p>
    <w:p w:rsidR="00000000" w:rsidRPr="00D975FF" w:rsidP="00486715">
      <w:pPr>
        <w:pStyle w:val="BodyText"/>
      </w:pPr>
      <w:r w:rsidRPr="00D975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75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975FF" w:rsidP="00486715">
      <w:pPr>
        <w:pStyle w:val="BodyText"/>
      </w:pPr>
      <w:r w:rsidRPr="00D975FF">
        <w:t>Companion Volume implementation gu</w:t>
      </w:r>
      <w:r w:rsidRPr="00D975FF">
        <w:t xml:space="preserve">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5754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975FF" w:rsidP="00D975FF"/>
    <w:sectPr w:rsidSect="00D975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FF" w:rsidRPr="00486715" w:rsidP="00486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15" w:rsidP="00D97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715" w:rsidP="00D97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86715" w:rsidP="00D975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5FF" w:rsidRPr="00486715" w:rsidP="00486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15" w:rsidRPr="002D2AF8" w:rsidP="00D97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AURETR027 Install ancillary electronic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86715" w:rsidP="00D97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624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8E0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58A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5FF"/>
  </w:style>
  <w:style w:type="character" w:customStyle="1" w:styleId="Heading1Char">
    <w:name w:val="Heading 1 Char"/>
    <w:basedOn w:val="DefaultParagraphFont"/>
    <w:link w:val="Heading1"/>
    <w:rsid w:val="00D97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5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5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5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5FF"/>
    <w:rPr>
      <w:b/>
      <w:spacing w:val="0"/>
    </w:rPr>
  </w:style>
  <w:style w:type="paragraph" w:styleId="ListBullet2">
    <w:name w:val="List Bullet 2"/>
    <w:basedOn w:val="List2"/>
    <w:rsid w:val="00D975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5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75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7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5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5FF"/>
    <w:rPr>
      <w:i/>
    </w:rPr>
  </w:style>
  <w:style w:type="paragraph" w:styleId="Caption">
    <w:name w:val="caption"/>
    <w:basedOn w:val="BodyText"/>
    <w:next w:val="Normal"/>
    <w:qFormat/>
    <w:rsid w:val="00D97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5FF"/>
  </w:style>
  <w:style w:type="paragraph" w:styleId="TableofFigures">
    <w:name w:val="table of figures"/>
    <w:basedOn w:val="Normal"/>
    <w:next w:val="Normal"/>
    <w:semiHidden/>
    <w:rsid w:val="00D97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5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75FF"/>
    <w:rPr>
      <w:rFonts w:ascii="Wingdings" w:hAnsi="Wingdings"/>
    </w:rPr>
  </w:style>
  <w:style w:type="paragraph" w:customStyle="1" w:styleId="TableHeading">
    <w:name w:val="Table Heading"/>
    <w:basedOn w:val="HeadingBase"/>
    <w:rsid w:val="00D97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5FF"/>
    <w:rPr>
      <w:color w:val="0033CC"/>
      <w:u w:val="none"/>
    </w:rPr>
  </w:style>
  <w:style w:type="paragraph" w:customStyle="1" w:styleId="BodyTextRight">
    <w:name w:val="Body Text Right"/>
    <w:basedOn w:val="BodyText"/>
    <w:rsid w:val="00D97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5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5FF"/>
    <w:rPr>
      <w:sz w:val="32"/>
    </w:rPr>
  </w:style>
  <w:style w:type="paragraph" w:customStyle="1" w:styleId="HeadingProcedure">
    <w:name w:val="Heading Procedure"/>
    <w:basedOn w:val="HeadingBase"/>
    <w:next w:val="Normal"/>
    <w:rsid w:val="00D97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5FF"/>
    <w:pPr>
      <w:spacing w:before="60" w:after="60"/>
    </w:pPr>
  </w:style>
  <w:style w:type="paragraph" w:styleId="ListContinue">
    <w:name w:val="List Continue"/>
    <w:basedOn w:val="List"/>
    <w:rsid w:val="00D975FF"/>
    <w:pPr>
      <w:ind w:firstLine="0"/>
    </w:pPr>
  </w:style>
  <w:style w:type="paragraph" w:customStyle="1" w:styleId="ListNote">
    <w:name w:val="List Note"/>
    <w:basedOn w:val="List"/>
    <w:rsid w:val="00D97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5FF"/>
    <w:rPr>
      <w:rFonts w:ascii="Courier New" w:hAnsi="Courier New"/>
    </w:rPr>
  </w:style>
  <w:style w:type="paragraph" w:customStyle="1" w:styleId="NoteBullet">
    <w:name w:val="Note Bullet"/>
    <w:basedOn w:val="Note"/>
    <w:rsid w:val="00D97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5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7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5FF"/>
    <w:rPr>
      <w:b/>
      <w:smallCaps/>
    </w:rPr>
  </w:style>
  <w:style w:type="paragraph" w:customStyle="1" w:styleId="TableListNumber">
    <w:name w:val="Table List Number"/>
    <w:basedOn w:val="ListNumber"/>
    <w:rsid w:val="00D97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5FF"/>
    <w:pPr>
      <w:numPr>
        <w:numId w:val="10"/>
      </w:numPr>
    </w:pPr>
  </w:style>
  <w:style w:type="paragraph" w:customStyle="1" w:styleId="ListAlpha2">
    <w:name w:val="List Alpha 2"/>
    <w:basedOn w:val="List2"/>
    <w:rsid w:val="00D975FF"/>
    <w:pPr>
      <w:numPr>
        <w:numId w:val="9"/>
      </w:numPr>
    </w:pPr>
  </w:style>
  <w:style w:type="paragraph" w:styleId="List2">
    <w:name w:val="List 2"/>
    <w:basedOn w:val="BodyText"/>
    <w:rsid w:val="00D97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5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75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75FF"/>
    <w:pPr>
      <w:numPr>
        <w:numId w:val="5"/>
      </w:numPr>
    </w:pPr>
  </w:style>
  <w:style w:type="paragraph" w:styleId="ListContinue2">
    <w:name w:val="List Continue 2"/>
    <w:basedOn w:val="List2"/>
    <w:rsid w:val="00D975FF"/>
    <w:pPr>
      <w:ind w:firstLine="0"/>
    </w:pPr>
  </w:style>
  <w:style w:type="paragraph" w:styleId="ListContinue3">
    <w:name w:val="List Continue 3"/>
    <w:basedOn w:val="List3"/>
    <w:rsid w:val="00D975FF"/>
    <w:pPr>
      <w:ind w:left="1021" w:firstLine="0"/>
    </w:pPr>
  </w:style>
  <w:style w:type="paragraph" w:styleId="ListContinue4">
    <w:name w:val="List Continue 4"/>
    <w:basedOn w:val="List4"/>
    <w:rsid w:val="00D975FF"/>
    <w:pPr>
      <w:ind w:firstLine="0"/>
    </w:pPr>
  </w:style>
  <w:style w:type="paragraph" w:styleId="ListContinue5">
    <w:name w:val="List Continue 5"/>
    <w:basedOn w:val="List5"/>
    <w:rsid w:val="00D975FF"/>
    <w:pPr>
      <w:ind w:firstLine="0"/>
    </w:pPr>
  </w:style>
  <w:style w:type="paragraph" w:styleId="ListNumber3">
    <w:name w:val="List Number 3"/>
    <w:basedOn w:val="List3"/>
    <w:rsid w:val="00D975FF"/>
    <w:pPr>
      <w:numPr>
        <w:numId w:val="6"/>
      </w:numPr>
    </w:pPr>
  </w:style>
  <w:style w:type="paragraph" w:styleId="ListNumber4">
    <w:name w:val="List Number 4"/>
    <w:basedOn w:val="List4"/>
    <w:rsid w:val="00D975FF"/>
    <w:pPr>
      <w:numPr>
        <w:numId w:val="7"/>
      </w:numPr>
    </w:pPr>
  </w:style>
  <w:style w:type="paragraph" w:styleId="ListNumber5">
    <w:name w:val="List Number 5"/>
    <w:basedOn w:val="List5"/>
    <w:rsid w:val="00D975FF"/>
    <w:pPr>
      <w:numPr>
        <w:numId w:val="8"/>
      </w:numPr>
    </w:pPr>
  </w:style>
  <w:style w:type="paragraph" w:styleId="BlockText">
    <w:name w:val="Block Text"/>
    <w:basedOn w:val="Normal"/>
    <w:rsid w:val="00D97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5FF"/>
    <w:rPr>
      <w:sz w:val="16"/>
      <w:vertAlign w:val="superscript"/>
    </w:rPr>
  </w:style>
  <w:style w:type="character" w:customStyle="1" w:styleId="Symbols">
    <w:name w:val="Symbols"/>
    <w:basedOn w:val="DefaultParagraphFont"/>
    <w:rsid w:val="00D975FF"/>
    <w:rPr>
      <w:rFonts w:ascii="Symbol" w:hAnsi="Symbol"/>
    </w:rPr>
  </w:style>
  <w:style w:type="character" w:customStyle="1" w:styleId="MenuOptions">
    <w:name w:val="Menu Options"/>
    <w:basedOn w:val="DefaultParagraphFont"/>
    <w:rsid w:val="00D97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5FF"/>
    <w:rPr>
      <w:b/>
    </w:rPr>
  </w:style>
  <w:style w:type="character" w:customStyle="1" w:styleId="Underlined">
    <w:name w:val="Underlined"/>
    <w:basedOn w:val="DefaultParagraphFont"/>
    <w:rsid w:val="00D975FF"/>
    <w:rPr>
      <w:u w:val="single"/>
    </w:rPr>
  </w:style>
  <w:style w:type="paragraph" w:customStyle="1" w:styleId="TableBodyTextRight">
    <w:name w:val="Table Body Text Right"/>
    <w:basedOn w:val="TableBodyText"/>
    <w:rsid w:val="00D97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5FF"/>
    <w:rPr>
      <w:sz w:val="18"/>
    </w:rPr>
  </w:style>
  <w:style w:type="paragraph" w:customStyle="1" w:styleId="BodySmallRight">
    <w:name w:val="Body Small Right"/>
    <w:basedOn w:val="BodyTextRight"/>
    <w:rsid w:val="00D975FF"/>
    <w:rPr>
      <w:sz w:val="18"/>
      <w:szCs w:val="18"/>
    </w:rPr>
  </w:style>
  <w:style w:type="paragraph" w:customStyle="1" w:styleId="MarginEdition">
    <w:name w:val="Margin Edition"/>
    <w:basedOn w:val="MarginNote"/>
    <w:rsid w:val="00D97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5FF"/>
    <w:rPr>
      <w:sz w:val="2"/>
      <w:szCs w:val="2"/>
    </w:rPr>
  </w:style>
  <w:style w:type="character" w:customStyle="1" w:styleId="Small">
    <w:name w:val="Small"/>
    <w:basedOn w:val="DefaultParagraphFont"/>
    <w:rsid w:val="00D975FF"/>
    <w:rPr>
      <w:sz w:val="16"/>
    </w:rPr>
  </w:style>
  <w:style w:type="paragraph" w:customStyle="1" w:styleId="WideTable">
    <w:name w:val="Wide Table"/>
    <w:basedOn w:val="Normal"/>
    <w:rsid w:val="00D97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5FF"/>
  </w:style>
  <w:style w:type="paragraph" w:styleId="Quote">
    <w:name w:val="Quote"/>
    <w:basedOn w:val="Heading1"/>
    <w:link w:val="QuoteChar"/>
    <w:qFormat/>
    <w:rsid w:val="00D97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5FF"/>
    <w:pPr>
      <w:pageBreakBefore/>
    </w:pPr>
  </w:style>
  <w:style w:type="paragraph" w:customStyle="1" w:styleId="Border">
    <w:name w:val="Border"/>
    <w:basedOn w:val="Normal"/>
    <w:qFormat/>
    <w:rsid w:val="00D97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5FF"/>
    <w:rPr>
      <w:u w:val="single"/>
    </w:rPr>
  </w:style>
  <w:style w:type="character" w:customStyle="1" w:styleId="BoldandItalics">
    <w:name w:val="Bold and Italics"/>
    <w:qFormat/>
    <w:rsid w:val="00D975FF"/>
    <w:rPr>
      <w:b/>
      <w:i/>
      <w:u w:val="none"/>
    </w:rPr>
  </w:style>
  <w:style w:type="paragraph" w:styleId="BalloonText">
    <w:name w:val="Balloon Text"/>
    <w:basedOn w:val="Normal"/>
    <w:link w:val="BalloonTextChar"/>
    <w:rsid w:val="00D97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5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5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5FF"/>
    <w:pPr>
      <w:spacing w:before="0" w:after="0"/>
    </w:pPr>
  </w:style>
  <w:style w:type="paragraph" w:customStyle="1" w:styleId="BodyTextBold">
    <w:name w:val="Body Text Bold"/>
    <w:basedOn w:val="BodyText"/>
    <w:qFormat/>
    <w:rsid w:val="00D975FF"/>
    <w:rPr>
      <w:b/>
    </w:rPr>
  </w:style>
  <w:style w:type="character" w:styleId="Hyperlink">
    <w:name w:val="Hyperlink"/>
    <w:basedOn w:val="DefaultParagraphFont"/>
    <w:uiPriority w:val="99"/>
    <w:unhideWhenUsed/>
    <w:rsid w:val="00486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3983</Characters>
  <Application>Microsoft Office Word</Application>
  <DocSecurity>0</DocSecurity>
  <Lines>107</Lines>
  <Paragraphs>79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AURETR027 Install ancillary electronic systems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