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A11" w:rsidP="006D4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AURETR026 Remove, replace and program electrical and electronic units and assemblies</w:t>
      </w:r>
      <w:r>
        <w:fldChar w:fldCharType="end"/>
      </w:r>
    </w:p>
    <w:p w:rsidR="006D4A11" w:rsidP="006D4A11">
      <w:pPr>
        <w:pStyle w:val="Version"/>
        <w:sectPr w:rsidSect="008C1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8E3" w:rsidP="008C18E3">
      <w:pPr>
        <w:pStyle w:val="SuperHeading"/>
      </w:pPr>
      <w:r w:rsidRPr="008C18E3">
        <w:t>Assessment Requirements for AURETR026 Remove, replace and program electrical and electronic units and assemblies</w:t>
      </w:r>
    </w:p>
    <w:p w:rsidR="00000000" w:rsidRPr="008C18E3" w:rsidP="008C18E3">
      <w:pPr>
        <w:pStyle w:val="Heading1"/>
      </w:pPr>
      <w:bookmarkStart w:id="1" w:name="O_794700"/>
      <w:bookmarkEnd w:id="1"/>
      <w:r w:rsidRPr="008C18E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4A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8E3" w:rsidP="008C18E3">
            <w:pPr>
              <w:pStyle w:val="BodyText"/>
            </w:pPr>
            <w:r w:rsidRPr="008C18E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8E3">
            <w:pPr>
              <w:pStyle w:val="BodyText"/>
              <w:rPr>
                <w:lang w:val="en-NZ"/>
              </w:rPr>
            </w:pPr>
            <w:r w:rsidRPr="008C18E3">
              <w:rPr>
                <w:rStyle w:val="SpecialBold"/>
              </w:rPr>
              <w:t>Comment</w:t>
            </w:r>
          </w:p>
        </w:tc>
      </w:tr>
      <w:tr w:rsidTr="006D4A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8E3">
            <w:pPr>
              <w:pStyle w:val="BodyText"/>
              <w:rPr>
                <w:lang w:val="en-NZ"/>
              </w:rPr>
            </w:pPr>
            <w:r w:rsidRPr="008C18E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8E3" w:rsidP="008C18E3">
            <w:pPr>
              <w:pStyle w:val="BodyText"/>
            </w:pPr>
            <w:r w:rsidRPr="008C18E3">
              <w:t>New unit of competency.</w:t>
            </w:r>
          </w:p>
        </w:tc>
      </w:tr>
    </w:tbl>
    <w:p w:rsidR="00000000" w:rsidRPr="008C18E3" w:rsidP="008C18E3">
      <w:pPr>
        <w:pStyle w:val="BodyText"/>
      </w:pPr>
    </w:p>
    <w:p w:rsidR="00000000" w:rsidRPr="008C18E3" w:rsidP="008C18E3">
      <w:pPr>
        <w:pStyle w:val="AllowPageBreak"/>
      </w:pPr>
    </w:p>
    <w:p w:rsidR="00000000" w:rsidRPr="008C18E3" w:rsidP="008C18E3">
      <w:pPr>
        <w:pStyle w:val="Heading1"/>
      </w:pPr>
      <w:bookmarkStart w:id="2" w:name="O_794701"/>
      <w:bookmarkEnd w:id="2"/>
      <w:r w:rsidRPr="008C18E3">
        <w:t>Performance Evidence</w:t>
      </w:r>
    </w:p>
    <w:p w:rsidR="00000000" w:rsidRPr="008C18E3" w:rsidP="006D4A11">
      <w:pPr>
        <w:pStyle w:val="BodyText"/>
      </w:pPr>
      <w:r w:rsidRPr="008C18E3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8C18E3" w:rsidP="008C18E3">
      <w:pPr>
        <w:pStyle w:val="ListBullet"/>
      </w:pPr>
      <w:r w:rsidRPr="008C18E3">
        <w:t>remove, replace, program and retest</w:t>
      </w:r>
      <w:r w:rsidRPr="008C18E3">
        <w:t xml:space="preserve"> two of the following systems on controller area network databus (CAN-bus) circuits in different vehicles or machinery, including:</w:t>
      </w:r>
    </w:p>
    <w:p w:rsidR="00000000" w:rsidRPr="008C18E3" w:rsidP="008C18E3">
      <w:pPr>
        <w:pStyle w:val="ListBullet2"/>
      </w:pPr>
      <w:r w:rsidRPr="008C18E3">
        <w:t>supplementary restraint system (SRS) module</w:t>
      </w:r>
    </w:p>
    <w:p w:rsidR="00000000" w:rsidRPr="008C18E3" w:rsidP="008C18E3">
      <w:pPr>
        <w:pStyle w:val="ListBullet2"/>
      </w:pPr>
      <w:r w:rsidRPr="008C18E3">
        <w:t>body control module (BCM)</w:t>
      </w:r>
    </w:p>
    <w:p w:rsidR="00000000" w:rsidRPr="008C18E3" w:rsidP="008C18E3">
      <w:pPr>
        <w:pStyle w:val="ListBullet2"/>
      </w:pPr>
      <w:r w:rsidRPr="008C18E3">
        <w:t>engine control module (ECM)</w:t>
      </w:r>
    </w:p>
    <w:p w:rsidR="00000000" w:rsidRPr="008C18E3" w:rsidP="008C18E3">
      <w:pPr>
        <w:pStyle w:val="ListBullet2"/>
      </w:pPr>
      <w:r w:rsidRPr="008C18E3">
        <w:t>powertrain control module (PCM)</w:t>
      </w:r>
    </w:p>
    <w:p w:rsidR="00000000" w:rsidRPr="008C18E3" w:rsidP="008C18E3">
      <w:pPr>
        <w:pStyle w:val="ListBullet2"/>
      </w:pPr>
      <w:r w:rsidRPr="008C18E3">
        <w:t>electric brake control (EBC), antilock braking system (ABS) or vehicle stability control (VSC) module</w:t>
      </w:r>
    </w:p>
    <w:p w:rsidR="00000000" w:rsidRPr="008C18E3" w:rsidP="008C18E3">
      <w:pPr>
        <w:pStyle w:val="ListBullet2"/>
      </w:pPr>
      <w:r w:rsidRPr="008C18E3">
        <w:t>collision avoidance control (CAC) module</w:t>
      </w:r>
    </w:p>
    <w:p w:rsidR="00000000" w:rsidRPr="008C18E3" w:rsidP="008C18E3">
      <w:pPr>
        <w:pStyle w:val="ListBullet2"/>
      </w:pPr>
      <w:r w:rsidRPr="008C18E3">
        <w:t>adaptive cruise control (ACC) module.</w:t>
      </w:r>
    </w:p>
    <w:p w:rsidR="00000000" w:rsidRPr="008C18E3" w:rsidP="008C18E3">
      <w:pPr>
        <w:pStyle w:val="AllowPageBreak"/>
      </w:pPr>
    </w:p>
    <w:p w:rsidR="00000000" w:rsidRPr="008C18E3" w:rsidP="008C18E3">
      <w:pPr>
        <w:pStyle w:val="Heading1"/>
      </w:pPr>
      <w:bookmarkStart w:id="3" w:name="O_794702"/>
      <w:bookmarkEnd w:id="3"/>
      <w:r w:rsidRPr="008C18E3">
        <w:t>Knowledge Evidence</w:t>
      </w:r>
    </w:p>
    <w:p w:rsidR="00000000" w:rsidRPr="008C18E3" w:rsidP="006D4A11">
      <w:pPr>
        <w:pStyle w:val="BodyText"/>
      </w:pPr>
      <w:r w:rsidRPr="008C18E3">
        <w:t>Individ</w:t>
      </w:r>
      <w:r w:rsidRPr="008C18E3">
        <w:t>uals must be able to demonstrate knowledge of:</w:t>
      </w:r>
    </w:p>
    <w:p w:rsidR="00000000" w:rsidRPr="008C18E3" w:rsidP="008C18E3">
      <w:pPr>
        <w:pStyle w:val="ListBullet"/>
      </w:pPr>
      <w:r w:rsidRPr="008C18E3">
        <w:t>work health and safety (WHS) and occupational health and safety (OHS) requirements relating to removing, replacing and programming electrical and electronic units and assemblies, including procedures for iden</w:t>
      </w:r>
      <w:r w:rsidRPr="008C18E3">
        <w:t>tifying hazards and controlling risks associated with wearing jewellery while working around high current wiring systems</w:t>
      </w:r>
    </w:p>
    <w:p w:rsidR="00000000" w:rsidRPr="008C18E3" w:rsidP="008C18E3">
      <w:pPr>
        <w:pStyle w:val="ListBullet"/>
      </w:pPr>
      <w:r w:rsidRPr="008C18E3">
        <w:t>key features of electrical and electronic units and assemblies integral to vehicle CAN-bus networks, including:</w:t>
      </w:r>
    </w:p>
    <w:p w:rsidR="00000000" w:rsidRPr="008C18E3" w:rsidP="008C18E3">
      <w:pPr>
        <w:pStyle w:val="ListBullet2"/>
      </w:pPr>
      <w:r w:rsidRPr="008C18E3">
        <w:t>supplementary restrain</w:t>
      </w:r>
      <w:r w:rsidRPr="008C18E3">
        <w:t>t system modules</w:t>
      </w:r>
    </w:p>
    <w:p w:rsidR="00000000" w:rsidRPr="008C18E3" w:rsidP="008C18E3">
      <w:pPr>
        <w:pStyle w:val="ListBullet2"/>
      </w:pPr>
      <w:r w:rsidRPr="008C18E3">
        <w:t>body control modules</w:t>
      </w:r>
    </w:p>
    <w:p w:rsidR="00000000" w:rsidRPr="008C18E3" w:rsidP="008C18E3">
      <w:pPr>
        <w:pStyle w:val="ListBullet2"/>
      </w:pPr>
      <w:r w:rsidRPr="008C18E3">
        <w:t>engine control modules</w:t>
      </w:r>
    </w:p>
    <w:p w:rsidR="00000000" w:rsidRPr="008C18E3" w:rsidP="008C18E3">
      <w:pPr>
        <w:pStyle w:val="ListBullet2"/>
      </w:pPr>
      <w:r w:rsidRPr="008C18E3">
        <w:t>powertrain control modules</w:t>
      </w:r>
    </w:p>
    <w:p w:rsidR="00000000" w:rsidRPr="008C18E3" w:rsidP="008C18E3">
      <w:pPr>
        <w:pStyle w:val="ListBullet2"/>
      </w:pPr>
      <w:r w:rsidRPr="008C18E3">
        <w:t>electric brake control, antilock braking system, and vehicle stability control modules</w:t>
      </w:r>
    </w:p>
    <w:p w:rsidR="00000000" w:rsidRPr="008C18E3" w:rsidP="008C18E3">
      <w:pPr>
        <w:pStyle w:val="ListBullet2"/>
      </w:pPr>
      <w:r w:rsidRPr="008C18E3">
        <w:t>collision avoidance control modules</w:t>
      </w:r>
    </w:p>
    <w:p w:rsidR="00000000" w:rsidRPr="008C18E3" w:rsidP="008C18E3">
      <w:pPr>
        <w:pStyle w:val="ListBullet2"/>
      </w:pPr>
      <w:r w:rsidRPr="008C18E3">
        <w:t>adaptive cruise control modules</w:t>
      </w:r>
    </w:p>
    <w:p w:rsidR="00000000" w:rsidRPr="008C18E3" w:rsidP="008C18E3">
      <w:pPr>
        <w:pStyle w:val="ListBullet"/>
      </w:pPr>
      <w:r w:rsidRPr="008C18E3">
        <w:t>various types of wiring systems found in vehicles, including:</w:t>
      </w:r>
    </w:p>
    <w:p w:rsidR="00000000" w:rsidRPr="008C18E3" w:rsidP="008C18E3">
      <w:pPr>
        <w:pStyle w:val="ListBullet2"/>
      </w:pPr>
      <w:r w:rsidRPr="008C18E3">
        <w:t xml:space="preserve">basic wiring </w:t>
      </w:r>
    </w:p>
    <w:p w:rsidR="00000000" w:rsidRPr="008C18E3" w:rsidP="008C18E3">
      <w:pPr>
        <w:pStyle w:val="ListBullet2"/>
      </w:pPr>
      <w:r w:rsidRPr="008C18E3">
        <w:t>twisted pair</w:t>
      </w:r>
    </w:p>
    <w:p w:rsidR="00000000" w:rsidRPr="008C18E3" w:rsidP="008C18E3">
      <w:pPr>
        <w:pStyle w:val="ListBullet2"/>
      </w:pPr>
      <w:r w:rsidRPr="008C18E3">
        <w:t>shielded wiring</w:t>
      </w:r>
    </w:p>
    <w:p w:rsidR="00000000" w:rsidRPr="008C18E3" w:rsidP="008C18E3">
      <w:pPr>
        <w:pStyle w:val="ListBullet2"/>
      </w:pPr>
      <w:r w:rsidRPr="008C18E3">
        <w:t>CAN-bus wiring</w:t>
      </w:r>
    </w:p>
    <w:p w:rsidR="00000000" w:rsidRPr="008C18E3" w:rsidP="008C18E3">
      <w:pPr>
        <w:pStyle w:val="ListBullet"/>
      </w:pPr>
      <w:r w:rsidRPr="008C18E3">
        <w:t>procedures for removing and replacing electrical and electronic units and assemblies, including:</w:t>
      </w:r>
    </w:p>
    <w:p w:rsidR="00000000" w:rsidRPr="008C18E3" w:rsidP="008C18E3">
      <w:pPr>
        <w:pStyle w:val="ListBullet2"/>
      </w:pPr>
      <w:r w:rsidRPr="008C18E3">
        <w:t>identifying unit position using wiri</w:t>
      </w:r>
      <w:r w:rsidRPr="008C18E3">
        <w:t>ng schematics and drawings</w:t>
      </w:r>
    </w:p>
    <w:p w:rsidR="00000000" w:rsidRPr="008C18E3" w:rsidP="008C18E3">
      <w:pPr>
        <w:pStyle w:val="ListBullet2"/>
      </w:pPr>
      <w:r w:rsidRPr="008C18E3">
        <w:t>identifying unit model and configuration</w:t>
      </w:r>
    </w:p>
    <w:p w:rsidR="00000000" w:rsidRPr="008C18E3" w:rsidP="008C18E3">
      <w:pPr>
        <w:pStyle w:val="ListBullet2"/>
      </w:pPr>
      <w:r w:rsidRPr="008C18E3">
        <w:t>identifying visual indications of unit damage, including:</w:t>
      </w:r>
    </w:p>
    <w:p w:rsidR="00000000" w:rsidRPr="008C18E3" w:rsidP="008C18E3">
      <w:pPr>
        <w:pStyle w:val="ListBullet3"/>
      </w:pPr>
      <w:r w:rsidRPr="008C18E3">
        <w:t>physical damage and wear</w:t>
      </w:r>
    </w:p>
    <w:p w:rsidR="00000000" w:rsidRPr="008C18E3" w:rsidP="008C18E3">
      <w:pPr>
        <w:pStyle w:val="ListBullet3"/>
      </w:pPr>
      <w:r w:rsidRPr="008C18E3">
        <w:t>water and moisture ingress</w:t>
      </w:r>
    </w:p>
    <w:p w:rsidR="00000000" w:rsidRPr="008C18E3" w:rsidP="008C18E3">
      <w:pPr>
        <w:pStyle w:val="ListBullet2"/>
      </w:pPr>
      <w:r w:rsidRPr="008C18E3">
        <w:t>avoiding static electricity discharge when handling units</w:t>
      </w:r>
    </w:p>
    <w:p w:rsidR="00000000" w:rsidRPr="008C18E3" w:rsidP="008C18E3">
      <w:pPr>
        <w:pStyle w:val="ListBullet2"/>
      </w:pPr>
      <w:r w:rsidRPr="008C18E3">
        <w:t>disconnecting and reconnecting electrical connectors</w:t>
      </w:r>
    </w:p>
    <w:p w:rsidR="00000000" w:rsidRPr="008C18E3" w:rsidP="008C18E3">
      <w:pPr>
        <w:pStyle w:val="ListBullet"/>
      </w:pPr>
      <w:r w:rsidRPr="008C18E3">
        <w:t>procedures for programming electrical or electronic units, including:</w:t>
      </w:r>
    </w:p>
    <w:p w:rsidR="00000000" w:rsidRPr="008C18E3" w:rsidP="008C18E3">
      <w:pPr>
        <w:pStyle w:val="ListBullet2"/>
      </w:pPr>
      <w:r w:rsidRPr="008C18E3">
        <w:t>service programming system (SPS)</w:t>
      </w:r>
    </w:p>
    <w:p w:rsidR="00000000" w:rsidRPr="008C18E3" w:rsidP="008C18E3">
      <w:pPr>
        <w:pStyle w:val="ListBullet2"/>
      </w:pPr>
      <w:r w:rsidRPr="008C18E3">
        <w:t>original equipment manufacturer (OEM) programming code</w:t>
      </w:r>
    </w:p>
    <w:p w:rsidR="00000000" w:rsidRPr="008C18E3" w:rsidP="008C18E3">
      <w:pPr>
        <w:pStyle w:val="ListBullet2"/>
      </w:pPr>
      <w:r w:rsidRPr="008C18E3">
        <w:t>flash code or program</w:t>
      </w:r>
    </w:p>
    <w:p w:rsidR="00000000" w:rsidRPr="008C18E3" w:rsidP="008C18E3">
      <w:pPr>
        <w:pStyle w:val="ListBullet2"/>
      </w:pPr>
      <w:r w:rsidRPr="008C18E3">
        <w:t>vehicle configuration index (VCI) code or password</w:t>
      </w:r>
    </w:p>
    <w:p w:rsidR="00000000" w:rsidRPr="008C18E3" w:rsidP="008C18E3">
      <w:pPr>
        <w:pStyle w:val="ListBullet"/>
      </w:pPr>
      <w:r w:rsidRPr="008C18E3">
        <w:t>post-replacement testing procedures, including checking unit system operation</w:t>
      </w:r>
    </w:p>
    <w:p w:rsidR="00000000" w:rsidRPr="008C18E3" w:rsidP="008C18E3">
      <w:pPr>
        <w:pStyle w:val="AllowPageBreak"/>
      </w:pPr>
    </w:p>
    <w:p w:rsidR="00000000" w:rsidRPr="008C18E3" w:rsidP="008C18E3">
      <w:pPr>
        <w:pStyle w:val="Heading1"/>
      </w:pPr>
      <w:bookmarkStart w:id="4" w:name="O_794703"/>
      <w:bookmarkEnd w:id="4"/>
      <w:r w:rsidRPr="008C18E3">
        <w:t>Assessment Conditions</w:t>
      </w:r>
    </w:p>
    <w:p w:rsidR="00000000" w:rsidRPr="008C18E3" w:rsidP="006D4A11">
      <w:pPr>
        <w:pStyle w:val="BodyText"/>
      </w:pPr>
      <w:r w:rsidRPr="008C18E3">
        <w:t>Assessors must satisfy NVR/AQTF assessor requirements.</w:t>
      </w:r>
    </w:p>
    <w:p w:rsidR="00000000" w:rsidRPr="008C18E3" w:rsidP="006D4A11">
      <w:pPr>
        <w:pStyle w:val="BodyText"/>
      </w:pPr>
      <w:r w:rsidRPr="008C18E3">
        <w:t>Competency is to be assessed in</w:t>
      </w:r>
      <w:r w:rsidRPr="008C18E3">
        <w:t xml:space="preserve"> the workplace or a simulated environment that accurately reflects performance in a real workplace setting.</w:t>
      </w:r>
    </w:p>
    <w:p w:rsidR="00000000" w:rsidRPr="008C18E3" w:rsidP="006D4A11">
      <w:pPr>
        <w:pStyle w:val="BodyText"/>
      </w:pPr>
      <w:r w:rsidRPr="008C18E3">
        <w:t>Assessment must include direct observation of tasks.</w:t>
      </w:r>
    </w:p>
    <w:p w:rsidR="00000000" w:rsidRPr="008C18E3" w:rsidP="006D4A11">
      <w:pPr>
        <w:pStyle w:val="BodyText"/>
      </w:pPr>
      <w:r w:rsidRPr="008C18E3">
        <w:t>Where assessment of competency includes third-party evidence, individuals must provide eviden</w:t>
      </w:r>
      <w:r w:rsidRPr="008C18E3">
        <w:t>ce that links them to the electrical and electronic units and assemblies they have removed, replaced and programmed, e.g. repair orders.</w:t>
      </w:r>
    </w:p>
    <w:p w:rsidR="00000000" w:rsidRPr="008C18E3" w:rsidP="006D4A11">
      <w:pPr>
        <w:pStyle w:val="BodyText"/>
      </w:pPr>
      <w:r w:rsidRPr="008C18E3">
        <w:t>Assessors must verify performance evidence through questioning on skills and knowledge to ensure correct interpretatio</w:t>
      </w:r>
      <w:r w:rsidRPr="008C18E3">
        <w:t>n and application.</w:t>
      </w:r>
    </w:p>
    <w:p w:rsidR="00000000" w:rsidRPr="008C18E3" w:rsidP="006D4A11">
      <w:pPr>
        <w:pStyle w:val="BodyText"/>
      </w:pPr>
      <w:r w:rsidRPr="008C18E3">
        <w:t>The following resources must be made available:</w:t>
      </w:r>
    </w:p>
    <w:p w:rsidR="00000000" w:rsidRPr="008C18E3" w:rsidP="008C18E3">
      <w:pPr>
        <w:pStyle w:val="ListBullet"/>
      </w:pPr>
      <w:r w:rsidRPr="008C18E3">
        <w:t>automotive repair workplace or simulated workplace</w:t>
      </w:r>
    </w:p>
    <w:p w:rsidR="00000000" w:rsidRPr="008C18E3" w:rsidP="008C18E3">
      <w:pPr>
        <w:pStyle w:val="ListBullet"/>
      </w:pPr>
      <w:r w:rsidRPr="008C18E3">
        <w:t>workplace instructions</w:t>
      </w:r>
    </w:p>
    <w:p w:rsidR="00000000" w:rsidRPr="008C18E3" w:rsidP="008C18E3">
      <w:pPr>
        <w:pStyle w:val="ListBullet"/>
      </w:pPr>
      <w:r w:rsidRPr="008C18E3">
        <w:t>manufacturer electrical and electronic unit and assembly specifications</w:t>
      </w:r>
    </w:p>
    <w:p w:rsidR="00000000" w:rsidRPr="008C18E3" w:rsidP="008C18E3">
      <w:pPr>
        <w:pStyle w:val="ListBullet"/>
      </w:pPr>
      <w:r w:rsidRPr="008C18E3">
        <w:t>two different vehicles or machinery requiring removal, replacement and programming of electrical and electronic units and assemblies</w:t>
      </w:r>
    </w:p>
    <w:p w:rsidR="00000000" w:rsidRPr="008C18E3" w:rsidP="008C18E3">
      <w:pPr>
        <w:pStyle w:val="ListBullet"/>
      </w:pPr>
      <w:r w:rsidRPr="008C18E3">
        <w:t>tools, equipment and materials appropriate for removing, replacing and programming electrical and electronic units and asse</w:t>
      </w:r>
      <w:r w:rsidRPr="008C18E3">
        <w:t>mblies, including scan tool.</w:t>
      </w:r>
    </w:p>
    <w:p w:rsidR="00000000" w:rsidRPr="008C18E3" w:rsidP="008C18E3">
      <w:pPr>
        <w:pStyle w:val="AllowPageBreak"/>
      </w:pPr>
    </w:p>
    <w:p w:rsidR="00000000" w:rsidRPr="008C18E3" w:rsidP="008C18E3">
      <w:pPr>
        <w:pStyle w:val="Heading1"/>
      </w:pPr>
      <w:bookmarkStart w:id="5" w:name="O_794706"/>
      <w:bookmarkEnd w:id="5"/>
      <w:r w:rsidRPr="008C18E3">
        <w:t>Links</w:t>
      </w:r>
    </w:p>
    <w:p w:rsidR="00000000" w:rsidRPr="008C18E3" w:rsidP="006D4A11">
      <w:pPr>
        <w:pStyle w:val="BodyText"/>
      </w:pPr>
      <w:r w:rsidRPr="008C1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E46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C18E3" w:rsidP="008C18E3"/>
    <w:sectPr w:rsidSect="008C1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8E3" w:rsidRPr="006D4A11" w:rsidP="006D4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11" w:rsidP="008C1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A11" w:rsidP="008C1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4A11" w:rsidP="008C1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8E3" w:rsidRPr="006D4A11" w:rsidP="006D4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11" w:rsidRPr="002D2AF8" w:rsidP="008C1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AURETR026 Remove, replace and program electrical and electronic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D4A11" w:rsidP="008C1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05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2A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2E8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8E3"/>
  </w:style>
  <w:style w:type="character" w:customStyle="1" w:styleId="Heading1Char">
    <w:name w:val="Heading 1 Char"/>
    <w:basedOn w:val="DefaultParagraphFont"/>
    <w:link w:val="Heading1"/>
    <w:rsid w:val="008C1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8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8E3"/>
    <w:rPr>
      <w:b/>
      <w:spacing w:val="0"/>
    </w:rPr>
  </w:style>
  <w:style w:type="paragraph" w:styleId="ListBullet2">
    <w:name w:val="List Bullet 2"/>
    <w:basedOn w:val="List2"/>
    <w:rsid w:val="008C18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1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18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1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8E3"/>
    <w:rPr>
      <w:i/>
    </w:rPr>
  </w:style>
  <w:style w:type="paragraph" w:styleId="Caption">
    <w:name w:val="caption"/>
    <w:basedOn w:val="BodyText"/>
    <w:next w:val="Normal"/>
    <w:qFormat/>
    <w:rsid w:val="008C1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8E3"/>
  </w:style>
  <w:style w:type="paragraph" w:styleId="TableofFigures">
    <w:name w:val="table of figures"/>
    <w:basedOn w:val="Normal"/>
    <w:next w:val="Normal"/>
    <w:semiHidden/>
    <w:rsid w:val="008C1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8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18E3"/>
    <w:rPr>
      <w:rFonts w:ascii="Wingdings" w:hAnsi="Wingdings"/>
    </w:rPr>
  </w:style>
  <w:style w:type="paragraph" w:customStyle="1" w:styleId="TableHeading">
    <w:name w:val="Table Heading"/>
    <w:basedOn w:val="HeadingBase"/>
    <w:rsid w:val="008C1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8E3"/>
    <w:rPr>
      <w:color w:val="0033CC"/>
      <w:u w:val="none"/>
    </w:rPr>
  </w:style>
  <w:style w:type="paragraph" w:customStyle="1" w:styleId="BodyTextRight">
    <w:name w:val="Body Text Right"/>
    <w:basedOn w:val="BodyText"/>
    <w:rsid w:val="008C1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8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8E3"/>
    <w:rPr>
      <w:sz w:val="32"/>
    </w:rPr>
  </w:style>
  <w:style w:type="paragraph" w:customStyle="1" w:styleId="HeadingProcedure">
    <w:name w:val="Heading Procedure"/>
    <w:basedOn w:val="HeadingBase"/>
    <w:next w:val="Normal"/>
    <w:rsid w:val="008C1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8E3"/>
    <w:pPr>
      <w:spacing w:before="60" w:after="60"/>
    </w:pPr>
  </w:style>
  <w:style w:type="paragraph" w:styleId="ListContinue">
    <w:name w:val="List Continue"/>
    <w:basedOn w:val="List"/>
    <w:rsid w:val="008C18E3"/>
    <w:pPr>
      <w:ind w:firstLine="0"/>
    </w:pPr>
  </w:style>
  <w:style w:type="paragraph" w:customStyle="1" w:styleId="ListNote">
    <w:name w:val="List Note"/>
    <w:basedOn w:val="List"/>
    <w:rsid w:val="008C1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8E3"/>
    <w:rPr>
      <w:rFonts w:ascii="Courier New" w:hAnsi="Courier New"/>
    </w:rPr>
  </w:style>
  <w:style w:type="paragraph" w:customStyle="1" w:styleId="NoteBullet">
    <w:name w:val="Note Bullet"/>
    <w:basedOn w:val="Note"/>
    <w:rsid w:val="008C1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8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1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8E3"/>
    <w:rPr>
      <w:b/>
      <w:smallCaps/>
    </w:rPr>
  </w:style>
  <w:style w:type="paragraph" w:customStyle="1" w:styleId="TableListNumber">
    <w:name w:val="Table List Number"/>
    <w:basedOn w:val="ListNumber"/>
    <w:rsid w:val="008C1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8E3"/>
    <w:pPr>
      <w:numPr>
        <w:numId w:val="10"/>
      </w:numPr>
    </w:pPr>
  </w:style>
  <w:style w:type="paragraph" w:customStyle="1" w:styleId="ListAlpha2">
    <w:name w:val="List Alpha 2"/>
    <w:basedOn w:val="List2"/>
    <w:rsid w:val="008C18E3"/>
    <w:pPr>
      <w:numPr>
        <w:numId w:val="9"/>
      </w:numPr>
    </w:pPr>
  </w:style>
  <w:style w:type="paragraph" w:styleId="List2">
    <w:name w:val="List 2"/>
    <w:basedOn w:val="BodyText"/>
    <w:rsid w:val="008C1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8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18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18E3"/>
    <w:pPr>
      <w:numPr>
        <w:numId w:val="5"/>
      </w:numPr>
    </w:pPr>
  </w:style>
  <w:style w:type="paragraph" w:styleId="ListContinue2">
    <w:name w:val="List Continue 2"/>
    <w:basedOn w:val="List2"/>
    <w:rsid w:val="008C18E3"/>
    <w:pPr>
      <w:ind w:firstLine="0"/>
    </w:pPr>
  </w:style>
  <w:style w:type="paragraph" w:styleId="ListContinue3">
    <w:name w:val="List Continue 3"/>
    <w:basedOn w:val="List3"/>
    <w:rsid w:val="008C18E3"/>
    <w:pPr>
      <w:ind w:left="1021" w:firstLine="0"/>
    </w:pPr>
  </w:style>
  <w:style w:type="paragraph" w:styleId="ListContinue4">
    <w:name w:val="List Continue 4"/>
    <w:basedOn w:val="List4"/>
    <w:rsid w:val="008C18E3"/>
    <w:pPr>
      <w:ind w:firstLine="0"/>
    </w:pPr>
  </w:style>
  <w:style w:type="paragraph" w:styleId="ListContinue5">
    <w:name w:val="List Continue 5"/>
    <w:basedOn w:val="List5"/>
    <w:rsid w:val="008C18E3"/>
    <w:pPr>
      <w:ind w:firstLine="0"/>
    </w:pPr>
  </w:style>
  <w:style w:type="paragraph" w:styleId="ListNumber3">
    <w:name w:val="List Number 3"/>
    <w:basedOn w:val="List3"/>
    <w:rsid w:val="008C18E3"/>
    <w:pPr>
      <w:numPr>
        <w:numId w:val="6"/>
      </w:numPr>
    </w:pPr>
  </w:style>
  <w:style w:type="paragraph" w:styleId="ListNumber4">
    <w:name w:val="List Number 4"/>
    <w:basedOn w:val="List4"/>
    <w:rsid w:val="008C18E3"/>
    <w:pPr>
      <w:numPr>
        <w:numId w:val="7"/>
      </w:numPr>
    </w:pPr>
  </w:style>
  <w:style w:type="paragraph" w:styleId="ListNumber5">
    <w:name w:val="List Number 5"/>
    <w:basedOn w:val="List5"/>
    <w:rsid w:val="008C18E3"/>
    <w:pPr>
      <w:numPr>
        <w:numId w:val="8"/>
      </w:numPr>
    </w:pPr>
  </w:style>
  <w:style w:type="paragraph" w:styleId="BlockText">
    <w:name w:val="Block Text"/>
    <w:basedOn w:val="Normal"/>
    <w:rsid w:val="008C1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8E3"/>
    <w:rPr>
      <w:sz w:val="16"/>
      <w:vertAlign w:val="superscript"/>
    </w:rPr>
  </w:style>
  <w:style w:type="character" w:customStyle="1" w:styleId="Symbols">
    <w:name w:val="Symbols"/>
    <w:basedOn w:val="DefaultParagraphFont"/>
    <w:rsid w:val="008C18E3"/>
    <w:rPr>
      <w:rFonts w:ascii="Symbol" w:hAnsi="Symbol"/>
    </w:rPr>
  </w:style>
  <w:style w:type="character" w:customStyle="1" w:styleId="MenuOptions">
    <w:name w:val="Menu Options"/>
    <w:basedOn w:val="DefaultParagraphFont"/>
    <w:rsid w:val="008C1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8E3"/>
    <w:rPr>
      <w:b/>
    </w:rPr>
  </w:style>
  <w:style w:type="character" w:customStyle="1" w:styleId="Underlined">
    <w:name w:val="Underlined"/>
    <w:basedOn w:val="DefaultParagraphFont"/>
    <w:rsid w:val="008C18E3"/>
    <w:rPr>
      <w:u w:val="single"/>
    </w:rPr>
  </w:style>
  <w:style w:type="paragraph" w:customStyle="1" w:styleId="TableBodyTextRight">
    <w:name w:val="Table Body Text Right"/>
    <w:basedOn w:val="TableBodyText"/>
    <w:rsid w:val="008C1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8E3"/>
    <w:rPr>
      <w:sz w:val="18"/>
    </w:rPr>
  </w:style>
  <w:style w:type="paragraph" w:customStyle="1" w:styleId="BodySmallRight">
    <w:name w:val="Body Small Right"/>
    <w:basedOn w:val="BodyTextRight"/>
    <w:rsid w:val="008C18E3"/>
    <w:rPr>
      <w:sz w:val="18"/>
      <w:szCs w:val="18"/>
    </w:rPr>
  </w:style>
  <w:style w:type="paragraph" w:customStyle="1" w:styleId="MarginEdition">
    <w:name w:val="Margin Edition"/>
    <w:basedOn w:val="MarginNote"/>
    <w:rsid w:val="008C1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8E3"/>
    <w:rPr>
      <w:sz w:val="2"/>
      <w:szCs w:val="2"/>
    </w:rPr>
  </w:style>
  <w:style w:type="character" w:customStyle="1" w:styleId="Small">
    <w:name w:val="Small"/>
    <w:basedOn w:val="DefaultParagraphFont"/>
    <w:rsid w:val="008C18E3"/>
    <w:rPr>
      <w:sz w:val="16"/>
    </w:rPr>
  </w:style>
  <w:style w:type="paragraph" w:customStyle="1" w:styleId="WideTable">
    <w:name w:val="Wide Table"/>
    <w:basedOn w:val="Normal"/>
    <w:rsid w:val="008C1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8E3"/>
  </w:style>
  <w:style w:type="paragraph" w:styleId="Quote">
    <w:name w:val="Quote"/>
    <w:basedOn w:val="Heading1"/>
    <w:link w:val="QuoteChar"/>
    <w:qFormat/>
    <w:rsid w:val="008C1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8E3"/>
    <w:pPr>
      <w:pageBreakBefore/>
    </w:pPr>
  </w:style>
  <w:style w:type="paragraph" w:customStyle="1" w:styleId="Border">
    <w:name w:val="Border"/>
    <w:basedOn w:val="Normal"/>
    <w:qFormat/>
    <w:rsid w:val="008C1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8E3"/>
    <w:rPr>
      <w:u w:val="single"/>
    </w:rPr>
  </w:style>
  <w:style w:type="character" w:customStyle="1" w:styleId="BoldandItalics">
    <w:name w:val="Bold and Italics"/>
    <w:qFormat/>
    <w:rsid w:val="008C18E3"/>
    <w:rPr>
      <w:b/>
      <w:i/>
      <w:u w:val="none"/>
    </w:rPr>
  </w:style>
  <w:style w:type="paragraph" w:styleId="BalloonText">
    <w:name w:val="Balloon Text"/>
    <w:basedOn w:val="Normal"/>
    <w:link w:val="BalloonTextChar"/>
    <w:rsid w:val="008C1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8E3"/>
    <w:pPr>
      <w:spacing w:before="0" w:after="0"/>
    </w:pPr>
  </w:style>
  <w:style w:type="paragraph" w:customStyle="1" w:styleId="BodyTextBold">
    <w:name w:val="Body Text Bold"/>
    <w:basedOn w:val="BodyText"/>
    <w:qFormat/>
    <w:rsid w:val="008C18E3"/>
    <w:rPr>
      <w:b/>
    </w:rPr>
  </w:style>
  <w:style w:type="character" w:styleId="Hyperlink">
    <w:name w:val="Hyperlink"/>
    <w:basedOn w:val="DefaultParagraphFont"/>
    <w:uiPriority w:val="99"/>
    <w:unhideWhenUsed/>
    <w:rsid w:val="006D4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3588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AURETR026 Remove, replace and program electrical and electronic units and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