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F36" w:rsidP="00E80F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AURETR021 Inspect, service and repair electronic management, monitoring and tracking systems</w:t>
      </w:r>
      <w:r>
        <w:fldChar w:fldCharType="end"/>
      </w:r>
    </w:p>
    <w:p w:rsidR="00E80F36" w:rsidP="00E80F36">
      <w:pPr>
        <w:pStyle w:val="Version"/>
        <w:sectPr w:rsidSect="004E7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B97" w:rsidP="004E7B97">
      <w:pPr>
        <w:pStyle w:val="SuperHeading"/>
      </w:pPr>
      <w:r w:rsidRPr="004E7B97">
        <w:t>Assessment Requirements for AURETR021 Inspect, service and repair electronic management, monitoring and tracking systems</w:t>
      </w:r>
    </w:p>
    <w:p w:rsidR="00000000" w:rsidRPr="004E7B97" w:rsidP="004E7B97">
      <w:pPr>
        <w:pStyle w:val="Heading1"/>
      </w:pPr>
      <w:bookmarkStart w:id="1" w:name="O_794662"/>
      <w:bookmarkEnd w:id="1"/>
      <w:r w:rsidRPr="004E7B9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80F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B97" w:rsidP="004E7B97">
            <w:pPr>
              <w:pStyle w:val="BodyText"/>
            </w:pPr>
            <w:r w:rsidRPr="004E7B9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97">
            <w:pPr>
              <w:pStyle w:val="BodyText"/>
              <w:rPr>
                <w:lang w:val="en-NZ"/>
              </w:rPr>
            </w:pPr>
            <w:r w:rsidRPr="004E7B97">
              <w:rPr>
                <w:rStyle w:val="SpecialBold"/>
              </w:rPr>
              <w:t>Comment</w:t>
            </w:r>
          </w:p>
        </w:tc>
      </w:tr>
      <w:tr w:rsidTr="00E80F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97">
            <w:pPr>
              <w:pStyle w:val="BodyText"/>
              <w:rPr>
                <w:lang w:val="en-NZ"/>
              </w:rPr>
            </w:pPr>
            <w:r w:rsidRPr="004E7B9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B97" w:rsidP="004E7B97">
            <w:pPr>
              <w:pStyle w:val="BodyText"/>
            </w:pPr>
            <w:r w:rsidRPr="004E7B97">
              <w:t>New unit of competency.</w:t>
            </w:r>
          </w:p>
        </w:tc>
      </w:tr>
    </w:tbl>
    <w:p w:rsidR="00000000" w:rsidRPr="004E7B97" w:rsidP="004E7B97">
      <w:pPr>
        <w:pStyle w:val="BodyText"/>
      </w:pPr>
    </w:p>
    <w:p w:rsidR="00000000" w:rsidRPr="004E7B97" w:rsidP="004E7B97">
      <w:pPr>
        <w:pStyle w:val="AllowPageBreak"/>
      </w:pPr>
    </w:p>
    <w:p w:rsidR="00000000" w:rsidRPr="004E7B97" w:rsidP="004E7B97">
      <w:pPr>
        <w:pStyle w:val="Heading1"/>
      </w:pPr>
      <w:bookmarkStart w:id="2" w:name="O_794663"/>
      <w:bookmarkEnd w:id="2"/>
      <w:r w:rsidRPr="004E7B97">
        <w:t>Performance Evidence</w:t>
      </w:r>
    </w:p>
    <w:p w:rsidR="00000000" w:rsidRPr="004E7B97" w:rsidP="00E80F36">
      <w:pPr>
        <w:pStyle w:val="BodyText"/>
      </w:pPr>
      <w:r w:rsidRPr="004E7B9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E7B97" w:rsidP="004E7B97">
      <w:pPr>
        <w:pStyle w:val="ListBullet"/>
      </w:pPr>
      <w:r w:rsidRPr="004E7B97">
        <w:t>inspect, service and repair three</w:t>
      </w:r>
      <w:r w:rsidRPr="004E7B97">
        <w:t xml:space="preserve"> of the following electronic management, monitoring and tracking systems:</w:t>
      </w:r>
    </w:p>
    <w:p w:rsidR="00000000" w:rsidRPr="004E7B97" w:rsidP="004E7B97">
      <w:pPr>
        <w:pStyle w:val="ListBullet2"/>
      </w:pPr>
      <w:r w:rsidRPr="004E7B97">
        <w:t>receivers</w:t>
      </w:r>
    </w:p>
    <w:p w:rsidR="00000000" w:rsidRPr="004E7B97" w:rsidP="004E7B97">
      <w:pPr>
        <w:pStyle w:val="ListBullet2"/>
      </w:pPr>
      <w:r w:rsidRPr="004E7B97">
        <w:t>displays</w:t>
      </w:r>
    </w:p>
    <w:p w:rsidR="00000000" w:rsidRPr="004E7B97" w:rsidP="004E7B97">
      <w:pPr>
        <w:pStyle w:val="ListBullet2"/>
      </w:pPr>
      <w:r w:rsidRPr="004E7B97">
        <w:t>electronic controllers</w:t>
      </w:r>
    </w:p>
    <w:p w:rsidR="00000000" w:rsidRPr="004E7B97" w:rsidP="004E7B97">
      <w:pPr>
        <w:pStyle w:val="ListBullet2"/>
      </w:pPr>
      <w:r w:rsidRPr="004E7B97">
        <w:t>steering actuators</w:t>
      </w:r>
    </w:p>
    <w:p w:rsidR="00000000" w:rsidRPr="004E7B97" w:rsidP="004E7B97">
      <w:pPr>
        <w:pStyle w:val="ListBullet2"/>
      </w:pPr>
      <w:r w:rsidRPr="004E7B97">
        <w:t>telematics</w:t>
      </w:r>
    </w:p>
    <w:p w:rsidR="00000000" w:rsidRPr="004E7B97" w:rsidP="004E7B97">
      <w:pPr>
        <w:pStyle w:val="ListBullet2"/>
      </w:pPr>
      <w:r w:rsidRPr="004E7B97">
        <w:t xml:space="preserve">connectors and harnesses. </w:t>
      </w:r>
    </w:p>
    <w:p w:rsidR="00000000" w:rsidRPr="004E7B97" w:rsidP="004E7B97">
      <w:pPr>
        <w:pStyle w:val="AllowPageBreak"/>
      </w:pPr>
    </w:p>
    <w:p w:rsidR="00000000" w:rsidRPr="004E7B97" w:rsidP="004E7B97">
      <w:pPr>
        <w:pStyle w:val="Heading1"/>
      </w:pPr>
      <w:bookmarkStart w:id="3" w:name="O_794664"/>
      <w:bookmarkEnd w:id="3"/>
      <w:r w:rsidRPr="004E7B97">
        <w:t>Knowledge Evidence</w:t>
      </w:r>
    </w:p>
    <w:p w:rsidR="00000000" w:rsidRPr="004E7B97" w:rsidP="00E80F36">
      <w:pPr>
        <w:pStyle w:val="BodyText"/>
      </w:pPr>
      <w:r w:rsidRPr="004E7B97">
        <w:t>Individuals must be able to demonstrate knowledge of:</w:t>
      </w:r>
    </w:p>
    <w:p w:rsidR="00000000" w:rsidRPr="004E7B97" w:rsidP="004E7B97">
      <w:pPr>
        <w:pStyle w:val="ListBullet"/>
      </w:pPr>
      <w:r w:rsidRPr="004E7B97">
        <w:t>work health and safety (WHS) and occupational health and safety (OHS) requirements relating to inspecting, servicing and repairing electronic management, monitoring and tracking systems, including proc</w:t>
      </w:r>
      <w:r w:rsidRPr="004E7B97">
        <w:t>edures for:</w:t>
      </w:r>
    </w:p>
    <w:p w:rsidR="00000000" w:rsidRPr="004E7B97" w:rsidP="004E7B97">
      <w:pPr>
        <w:pStyle w:val="ListBullet2"/>
      </w:pPr>
      <w:r w:rsidRPr="004E7B97">
        <w:t>using personal protective equipment (PPE), including clothing, and eye and hand protection</w:t>
      </w:r>
    </w:p>
    <w:p w:rsidR="00000000" w:rsidRPr="004E7B97" w:rsidP="004E7B97">
      <w:pPr>
        <w:pStyle w:val="ListBullet2"/>
      </w:pPr>
      <w:r w:rsidRPr="004E7B97">
        <w:t>working safely with high current electrical systems</w:t>
      </w:r>
    </w:p>
    <w:p w:rsidR="00000000" w:rsidRPr="004E7B97" w:rsidP="004E7B97">
      <w:pPr>
        <w:pStyle w:val="ListBullet"/>
      </w:pPr>
      <w:r w:rsidRPr="004E7B97">
        <w:t>environmental requirements, including procedures:</w:t>
      </w:r>
    </w:p>
    <w:p w:rsidR="00000000" w:rsidRPr="004E7B97" w:rsidP="004E7B97">
      <w:pPr>
        <w:pStyle w:val="ListBullet2"/>
      </w:pPr>
      <w:r w:rsidRPr="004E7B97">
        <w:t>found in safety data sheets (SDS) relating to to</w:t>
      </w:r>
      <w:r w:rsidRPr="004E7B97">
        <w:t>xic and corrosive substances</w:t>
      </w:r>
    </w:p>
    <w:p w:rsidR="00000000" w:rsidRPr="004E7B97" w:rsidP="004E7B97">
      <w:pPr>
        <w:pStyle w:val="ListBullet2"/>
      </w:pPr>
      <w:r w:rsidRPr="004E7B97">
        <w:t>for recycling and disposing of replaced electronic management, monitoring and tracking system components</w:t>
      </w:r>
    </w:p>
    <w:p w:rsidR="00000000" w:rsidRPr="004E7B97" w:rsidP="004E7B97">
      <w:pPr>
        <w:pStyle w:val="ListBullet"/>
      </w:pPr>
      <w:r w:rsidRPr="004E7B97">
        <w:t>operating principles of electronic management, monitoring and tracking systems, including:</w:t>
      </w:r>
    </w:p>
    <w:p w:rsidR="00000000" w:rsidRPr="004E7B97" w:rsidP="004E7B97">
      <w:pPr>
        <w:pStyle w:val="ListBullet2"/>
      </w:pPr>
      <w:r w:rsidRPr="004E7B97">
        <w:t>system overview</w:t>
      </w:r>
    </w:p>
    <w:p w:rsidR="00000000" w:rsidRPr="004E7B97" w:rsidP="004E7B97">
      <w:pPr>
        <w:pStyle w:val="ListBullet2"/>
      </w:pPr>
      <w:r w:rsidRPr="004E7B97">
        <w:t xml:space="preserve">global positioning system (GPS) </w:t>
      </w:r>
    </w:p>
    <w:p w:rsidR="00000000" w:rsidRPr="004E7B97" w:rsidP="004E7B97">
      <w:pPr>
        <w:pStyle w:val="ListBullet2"/>
      </w:pPr>
      <w:r w:rsidRPr="004E7B97">
        <w:t>electronic sensors and processors</w:t>
      </w:r>
    </w:p>
    <w:p w:rsidR="00000000" w:rsidRPr="004E7B97" w:rsidP="004E7B97">
      <w:pPr>
        <w:pStyle w:val="ListBullet2"/>
      </w:pPr>
      <w:r w:rsidRPr="004E7B97">
        <w:t>electrical actuators</w:t>
      </w:r>
    </w:p>
    <w:p w:rsidR="00000000" w:rsidRPr="004E7B97" w:rsidP="004E7B97">
      <w:pPr>
        <w:pStyle w:val="ListBullet"/>
      </w:pPr>
      <w:r w:rsidRPr="004E7B97">
        <w:t>application, purpose and operation of electronic management, monitoring and tracking systems, including:</w:t>
      </w:r>
    </w:p>
    <w:p w:rsidR="00000000" w:rsidRPr="004E7B97" w:rsidP="004E7B97">
      <w:pPr>
        <w:pStyle w:val="ListBullet2"/>
      </w:pPr>
      <w:r w:rsidRPr="004E7B97">
        <w:t>receivers</w:t>
      </w:r>
    </w:p>
    <w:p w:rsidR="00000000" w:rsidRPr="004E7B97" w:rsidP="004E7B97">
      <w:pPr>
        <w:pStyle w:val="ListBullet2"/>
      </w:pPr>
      <w:r w:rsidRPr="004E7B97">
        <w:t>displays</w:t>
      </w:r>
    </w:p>
    <w:p w:rsidR="00000000" w:rsidRPr="004E7B97" w:rsidP="004E7B97">
      <w:pPr>
        <w:pStyle w:val="ListBullet2"/>
      </w:pPr>
      <w:r w:rsidRPr="004E7B97">
        <w:t>electronic controllers</w:t>
      </w:r>
    </w:p>
    <w:p w:rsidR="00000000" w:rsidRPr="004E7B97" w:rsidP="004E7B97">
      <w:pPr>
        <w:pStyle w:val="ListBullet2"/>
      </w:pPr>
      <w:r w:rsidRPr="004E7B97">
        <w:t>steering actuators</w:t>
      </w:r>
    </w:p>
    <w:p w:rsidR="00000000" w:rsidRPr="004E7B97" w:rsidP="004E7B97">
      <w:pPr>
        <w:pStyle w:val="ListBullet2"/>
      </w:pPr>
      <w:r w:rsidRPr="004E7B97">
        <w:t>telematics</w:t>
      </w:r>
    </w:p>
    <w:p w:rsidR="00000000" w:rsidRPr="004E7B97" w:rsidP="004E7B97">
      <w:pPr>
        <w:pStyle w:val="ListBullet2"/>
      </w:pPr>
      <w:r w:rsidRPr="004E7B97">
        <w:t>connectors and harnesses</w:t>
      </w:r>
    </w:p>
    <w:p w:rsidR="00000000" w:rsidRPr="004E7B97" w:rsidP="004E7B97">
      <w:pPr>
        <w:pStyle w:val="ListBullet"/>
      </w:pPr>
      <w:r w:rsidRPr="004E7B97">
        <w:t>techniques for reading and interpreting automotive technical information, graphic symbols and wiring diagrams</w:t>
      </w:r>
    </w:p>
    <w:p w:rsidR="00000000" w:rsidRPr="004E7B97" w:rsidP="004E7B97">
      <w:pPr>
        <w:pStyle w:val="ListBullet"/>
      </w:pPr>
      <w:r w:rsidRPr="004E7B97">
        <w:t>inspection procedures, including:</w:t>
      </w:r>
    </w:p>
    <w:p w:rsidR="00000000" w:rsidRPr="004E7B97" w:rsidP="004E7B97">
      <w:pPr>
        <w:pStyle w:val="ListBullet2"/>
      </w:pPr>
      <w:r w:rsidRPr="004E7B97">
        <w:t>analysing system operation</w:t>
      </w:r>
    </w:p>
    <w:p w:rsidR="00000000" w:rsidRPr="004E7B97" w:rsidP="004E7B97">
      <w:pPr>
        <w:pStyle w:val="ListBullet2"/>
      </w:pPr>
      <w:r w:rsidRPr="004E7B97">
        <w:t>identifying software versions</w:t>
      </w:r>
    </w:p>
    <w:p w:rsidR="00000000" w:rsidRPr="004E7B97" w:rsidP="004E7B97">
      <w:pPr>
        <w:pStyle w:val="ListBullet2"/>
      </w:pPr>
      <w:r w:rsidRPr="004E7B97">
        <w:t>interrogating electronic fault codes</w:t>
      </w:r>
    </w:p>
    <w:p w:rsidR="00000000" w:rsidRPr="004E7B97" w:rsidP="004E7B97">
      <w:pPr>
        <w:pStyle w:val="ListBullet"/>
      </w:pPr>
      <w:r w:rsidRPr="004E7B97">
        <w:t>testing electrical systems, including procedures for accessing electrical terminals and using test probes without damaging connectors, fuse holders or wiring</w:t>
      </w:r>
    </w:p>
    <w:p w:rsidR="00000000" w:rsidRPr="004E7B97" w:rsidP="004E7B97">
      <w:pPr>
        <w:pStyle w:val="ListBullet"/>
      </w:pPr>
      <w:r w:rsidRPr="004E7B97">
        <w:t>service and repair procedures, including:</w:t>
      </w:r>
    </w:p>
    <w:p w:rsidR="00000000" w:rsidRPr="004E7B97" w:rsidP="004E7B97">
      <w:pPr>
        <w:pStyle w:val="ListBullet2"/>
      </w:pPr>
      <w:r w:rsidRPr="004E7B97">
        <w:t>component removal</w:t>
      </w:r>
      <w:r w:rsidRPr="004E7B97">
        <w:t xml:space="preserve"> and replacement procedures</w:t>
      </w:r>
    </w:p>
    <w:p w:rsidR="00000000" w:rsidRPr="004E7B97" w:rsidP="004E7B97">
      <w:pPr>
        <w:pStyle w:val="ListBullet2"/>
      </w:pPr>
      <w:r w:rsidRPr="004E7B97">
        <w:t>downloading and installing relevant component software</w:t>
      </w:r>
    </w:p>
    <w:p w:rsidR="00000000" w:rsidRPr="004E7B97" w:rsidP="004E7B97">
      <w:pPr>
        <w:pStyle w:val="ListBullet2"/>
      </w:pPr>
      <w:r w:rsidRPr="004E7B97">
        <w:t>component and associated system adjustment procedures to include variable operating conditions</w:t>
      </w:r>
    </w:p>
    <w:p w:rsidR="00000000" w:rsidRPr="004E7B97" w:rsidP="004E7B97">
      <w:pPr>
        <w:pStyle w:val="ListBullet"/>
      </w:pPr>
      <w:r w:rsidRPr="004E7B97">
        <w:t>post-repair testing procedures, including:</w:t>
      </w:r>
    </w:p>
    <w:p w:rsidR="00000000" w:rsidRPr="004E7B97" w:rsidP="004E7B97">
      <w:pPr>
        <w:pStyle w:val="ListBullet2"/>
      </w:pPr>
      <w:r w:rsidRPr="004E7B97">
        <w:t>confirming that vehicle or machin</w:t>
      </w:r>
      <w:r w:rsidRPr="004E7B97">
        <w:t>ery electronic monitoring, management and tracking systems are serviceable and operating to manufacturer specifications</w:t>
      </w:r>
    </w:p>
    <w:p w:rsidR="00000000" w:rsidRPr="004E7B97" w:rsidP="004E7B97">
      <w:pPr>
        <w:pStyle w:val="ListBullet2"/>
      </w:pPr>
      <w:r w:rsidRPr="004E7B97">
        <w:t>confirming that no other problems are present as a result of the repair.</w:t>
      </w:r>
    </w:p>
    <w:p w:rsidR="00000000" w:rsidRPr="004E7B97" w:rsidP="004E7B97">
      <w:pPr>
        <w:pStyle w:val="AllowPageBreak"/>
      </w:pPr>
    </w:p>
    <w:p w:rsidR="00000000" w:rsidRPr="004E7B97" w:rsidP="004E7B97">
      <w:pPr>
        <w:pStyle w:val="Heading1"/>
      </w:pPr>
      <w:bookmarkStart w:id="4" w:name="O_794665"/>
      <w:bookmarkEnd w:id="4"/>
      <w:r w:rsidRPr="004E7B97">
        <w:t>Assessment Conditions</w:t>
      </w:r>
    </w:p>
    <w:p w:rsidR="00000000" w:rsidRPr="004E7B97" w:rsidP="00E80F36">
      <w:pPr>
        <w:pStyle w:val="BodyText"/>
      </w:pPr>
      <w:r w:rsidRPr="004E7B97">
        <w:t>Assessors must satisfy N</w:t>
      </w:r>
      <w:r w:rsidRPr="004E7B97">
        <w:t>VR/AQTF assessor requirements.</w:t>
      </w:r>
    </w:p>
    <w:p w:rsidR="00000000" w:rsidRPr="004E7B97" w:rsidP="00E80F36">
      <w:pPr>
        <w:pStyle w:val="BodyText"/>
      </w:pPr>
      <w:r w:rsidRPr="004E7B97">
        <w:t>Competency is to be assessed in the workplace or a simulated environment that accurately reflects performance in a real workplace setting.</w:t>
      </w:r>
    </w:p>
    <w:p w:rsidR="00000000" w:rsidRPr="004E7B97" w:rsidP="00E80F36">
      <w:pPr>
        <w:pStyle w:val="BodyText"/>
      </w:pPr>
      <w:r w:rsidRPr="004E7B97">
        <w:t>Assessment must include direct observation of tasks.</w:t>
      </w:r>
    </w:p>
    <w:p w:rsidR="00000000" w:rsidRPr="004E7B97" w:rsidP="00E80F36">
      <w:pPr>
        <w:pStyle w:val="BodyText"/>
      </w:pPr>
      <w:r w:rsidRPr="004E7B97">
        <w:t>Where assessment of competency includes third-party evidence, individuals must provide evidence that links them to the electronic management, monitoring and tracking system that they have inspected, serviced and repaired, e.g. repair orders.</w:t>
      </w:r>
    </w:p>
    <w:p w:rsidR="00000000" w:rsidRPr="004E7B97" w:rsidP="00E80F36">
      <w:pPr>
        <w:pStyle w:val="BodyText"/>
      </w:pPr>
      <w:r w:rsidRPr="004E7B97">
        <w:t>Assessors mus</w:t>
      </w:r>
      <w:r w:rsidRPr="004E7B97">
        <w:t>t verify performance evidence through questioning on skills and knowledge to ensure correct interpretation and application.</w:t>
      </w:r>
    </w:p>
    <w:p w:rsidR="00000000" w:rsidRPr="004E7B97" w:rsidP="00E80F36">
      <w:pPr>
        <w:pStyle w:val="BodyText"/>
      </w:pPr>
      <w:r w:rsidRPr="004E7B97">
        <w:t>The following resources must be made available:</w:t>
      </w:r>
    </w:p>
    <w:p w:rsidR="00000000" w:rsidRPr="004E7B97" w:rsidP="004E7B97">
      <w:pPr>
        <w:pStyle w:val="ListBullet"/>
      </w:pPr>
      <w:r w:rsidRPr="004E7B97">
        <w:t>automotive repair workplace or simulated workplace</w:t>
      </w:r>
    </w:p>
    <w:p w:rsidR="00000000" w:rsidRPr="004E7B97" w:rsidP="004E7B97">
      <w:pPr>
        <w:pStyle w:val="ListBullet"/>
      </w:pPr>
      <w:r w:rsidRPr="004E7B97">
        <w:t>workplace instructions</w:t>
      </w:r>
    </w:p>
    <w:p w:rsidR="00000000" w:rsidRPr="004E7B97" w:rsidP="004E7B97">
      <w:pPr>
        <w:pStyle w:val="ListBullet"/>
      </w:pPr>
      <w:r w:rsidRPr="004E7B97">
        <w:t>manufact</w:t>
      </w:r>
      <w:r w:rsidRPr="004E7B97">
        <w:t>urer specifications for electronic management, monitoring and tracking systems</w:t>
      </w:r>
    </w:p>
    <w:p w:rsidR="00000000" w:rsidRPr="004E7B97" w:rsidP="004E7B97">
      <w:pPr>
        <w:pStyle w:val="ListBullet"/>
      </w:pPr>
      <w:r w:rsidRPr="004E7B97">
        <w:t>PPE, including clothing, and eye and hand protection</w:t>
      </w:r>
    </w:p>
    <w:p w:rsidR="00000000" w:rsidRPr="004E7B97" w:rsidP="004E7B97">
      <w:pPr>
        <w:pStyle w:val="ListBullet"/>
      </w:pPr>
      <w:r w:rsidRPr="004E7B97">
        <w:t xml:space="preserve">vehicles or machinery with the electronic management, monitoring and tracking systems specified in the performance evidence </w:t>
      </w:r>
      <w:r w:rsidRPr="004E7B97">
        <w:t>requiring service or repair</w:t>
      </w:r>
    </w:p>
    <w:p w:rsidR="00000000" w:rsidRPr="004E7B97" w:rsidP="004E7B97">
      <w:pPr>
        <w:pStyle w:val="ListBullet"/>
      </w:pPr>
      <w:r w:rsidRPr="004E7B97">
        <w:t>tools, equipment and materials appropriate for inspecting, servicing and repairing electronic management, monitoring and tracking systems, including scan tool.</w:t>
      </w:r>
    </w:p>
    <w:p w:rsidR="00000000" w:rsidRPr="004E7B97" w:rsidP="004E7B97">
      <w:pPr>
        <w:pStyle w:val="AllowPageBreak"/>
      </w:pPr>
    </w:p>
    <w:p w:rsidR="00000000" w:rsidRPr="004E7B97" w:rsidP="004E7B97">
      <w:pPr>
        <w:pStyle w:val="Heading1"/>
      </w:pPr>
      <w:bookmarkStart w:id="5" w:name="O_794668"/>
      <w:bookmarkEnd w:id="5"/>
      <w:r w:rsidRPr="004E7B97">
        <w:t>Links</w:t>
      </w:r>
    </w:p>
    <w:p w:rsidR="00000000" w:rsidRPr="004E7B97" w:rsidP="00E80F36">
      <w:pPr>
        <w:pStyle w:val="BodyText"/>
      </w:pPr>
      <w:r w:rsidRPr="004E7B97">
        <w:t>Companion Volume implementation guides are fo</w:t>
      </w:r>
      <w:r w:rsidRPr="004E7B97">
        <w:t xml:space="preserve">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B77B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E7B97" w:rsidP="00E80F36">
      <w:pPr>
        <w:pStyle w:val="BodyText"/>
      </w:pPr>
      <w:r w:rsidRPr="004E7B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B77B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E7B97" w:rsidP="004E7B97"/>
    <w:sectPr w:rsidSect="004E7B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97" w:rsidRPr="00E80F36" w:rsidP="00E80F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F36" w:rsidP="004E7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F36" w:rsidP="004E7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80F36" w:rsidP="004E7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F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B97" w:rsidRPr="00E80F36" w:rsidP="00E80F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F36" w:rsidRPr="002D2AF8" w:rsidP="004E7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AURETR021 Inspect, service and repair electronic management, monitoring and tracking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80F36" w:rsidP="004E7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3C06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E4A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A874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B97"/>
  </w:style>
  <w:style w:type="character" w:customStyle="1" w:styleId="Heading1Char">
    <w:name w:val="Heading 1 Char"/>
    <w:basedOn w:val="DefaultParagraphFont"/>
    <w:link w:val="Heading1"/>
    <w:rsid w:val="004E7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7B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7B97"/>
    <w:rPr>
      <w:b/>
      <w:spacing w:val="0"/>
    </w:rPr>
  </w:style>
  <w:style w:type="paragraph" w:styleId="ListBullet2">
    <w:name w:val="List Bullet 2"/>
    <w:basedOn w:val="List2"/>
    <w:rsid w:val="004E7B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7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7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7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7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B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B97"/>
    <w:rPr>
      <w:i/>
    </w:rPr>
  </w:style>
  <w:style w:type="paragraph" w:styleId="Caption">
    <w:name w:val="caption"/>
    <w:basedOn w:val="BodyText"/>
    <w:next w:val="Normal"/>
    <w:qFormat/>
    <w:rsid w:val="004E7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B97"/>
  </w:style>
  <w:style w:type="paragraph" w:styleId="TableofFigures">
    <w:name w:val="table of figures"/>
    <w:basedOn w:val="Normal"/>
    <w:next w:val="Normal"/>
    <w:semiHidden/>
    <w:rsid w:val="004E7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B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7B97"/>
    <w:rPr>
      <w:rFonts w:ascii="Wingdings" w:hAnsi="Wingdings"/>
    </w:rPr>
  </w:style>
  <w:style w:type="paragraph" w:customStyle="1" w:styleId="TableHeading">
    <w:name w:val="Table Heading"/>
    <w:basedOn w:val="HeadingBase"/>
    <w:rsid w:val="004E7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B97"/>
    <w:rPr>
      <w:color w:val="0033CC"/>
      <w:u w:val="none"/>
    </w:rPr>
  </w:style>
  <w:style w:type="paragraph" w:customStyle="1" w:styleId="BodyTextRight">
    <w:name w:val="Body Text Right"/>
    <w:basedOn w:val="BodyText"/>
    <w:rsid w:val="004E7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B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B97"/>
    <w:rPr>
      <w:sz w:val="32"/>
    </w:rPr>
  </w:style>
  <w:style w:type="paragraph" w:customStyle="1" w:styleId="HeadingProcedure">
    <w:name w:val="Heading Procedure"/>
    <w:basedOn w:val="HeadingBase"/>
    <w:next w:val="Normal"/>
    <w:rsid w:val="004E7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B97"/>
    <w:pPr>
      <w:spacing w:before="60" w:after="60"/>
    </w:pPr>
  </w:style>
  <w:style w:type="paragraph" w:styleId="ListContinue">
    <w:name w:val="List Continue"/>
    <w:basedOn w:val="List"/>
    <w:rsid w:val="004E7B97"/>
    <w:pPr>
      <w:ind w:firstLine="0"/>
    </w:pPr>
  </w:style>
  <w:style w:type="paragraph" w:customStyle="1" w:styleId="ListNote">
    <w:name w:val="List Note"/>
    <w:basedOn w:val="List"/>
    <w:rsid w:val="004E7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B97"/>
    <w:rPr>
      <w:rFonts w:ascii="Courier New" w:hAnsi="Courier New"/>
    </w:rPr>
  </w:style>
  <w:style w:type="paragraph" w:customStyle="1" w:styleId="NoteBullet">
    <w:name w:val="Note Bullet"/>
    <w:basedOn w:val="Note"/>
    <w:rsid w:val="004E7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B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7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B97"/>
    <w:rPr>
      <w:b/>
      <w:smallCaps/>
    </w:rPr>
  </w:style>
  <w:style w:type="paragraph" w:customStyle="1" w:styleId="TableListNumber">
    <w:name w:val="Table List Number"/>
    <w:basedOn w:val="ListNumber"/>
    <w:rsid w:val="004E7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B97"/>
    <w:pPr>
      <w:numPr>
        <w:numId w:val="9"/>
      </w:numPr>
    </w:pPr>
  </w:style>
  <w:style w:type="paragraph" w:customStyle="1" w:styleId="ListAlpha2">
    <w:name w:val="List Alpha 2"/>
    <w:basedOn w:val="List2"/>
    <w:rsid w:val="004E7B97"/>
    <w:pPr>
      <w:numPr>
        <w:numId w:val="8"/>
      </w:numPr>
    </w:pPr>
  </w:style>
  <w:style w:type="paragraph" w:styleId="List2">
    <w:name w:val="List 2"/>
    <w:basedOn w:val="BodyText"/>
    <w:rsid w:val="004E7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B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B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7B97"/>
    <w:pPr>
      <w:numPr>
        <w:numId w:val="4"/>
      </w:numPr>
    </w:pPr>
  </w:style>
  <w:style w:type="paragraph" w:styleId="ListContinue2">
    <w:name w:val="List Continue 2"/>
    <w:basedOn w:val="List2"/>
    <w:rsid w:val="004E7B97"/>
    <w:pPr>
      <w:ind w:firstLine="0"/>
    </w:pPr>
  </w:style>
  <w:style w:type="paragraph" w:styleId="ListContinue3">
    <w:name w:val="List Continue 3"/>
    <w:basedOn w:val="List3"/>
    <w:rsid w:val="004E7B97"/>
    <w:pPr>
      <w:ind w:left="1021" w:firstLine="0"/>
    </w:pPr>
  </w:style>
  <w:style w:type="paragraph" w:styleId="ListContinue4">
    <w:name w:val="List Continue 4"/>
    <w:basedOn w:val="List4"/>
    <w:rsid w:val="004E7B97"/>
    <w:pPr>
      <w:ind w:firstLine="0"/>
    </w:pPr>
  </w:style>
  <w:style w:type="paragraph" w:styleId="ListContinue5">
    <w:name w:val="List Continue 5"/>
    <w:basedOn w:val="List5"/>
    <w:rsid w:val="004E7B97"/>
    <w:pPr>
      <w:ind w:firstLine="0"/>
    </w:pPr>
  </w:style>
  <w:style w:type="paragraph" w:styleId="ListNumber3">
    <w:name w:val="List Number 3"/>
    <w:basedOn w:val="List3"/>
    <w:rsid w:val="004E7B97"/>
    <w:pPr>
      <w:numPr>
        <w:numId w:val="5"/>
      </w:numPr>
    </w:pPr>
  </w:style>
  <w:style w:type="paragraph" w:styleId="ListNumber4">
    <w:name w:val="List Number 4"/>
    <w:basedOn w:val="List4"/>
    <w:rsid w:val="004E7B97"/>
    <w:pPr>
      <w:numPr>
        <w:numId w:val="6"/>
      </w:numPr>
    </w:pPr>
  </w:style>
  <w:style w:type="paragraph" w:styleId="ListNumber5">
    <w:name w:val="List Number 5"/>
    <w:basedOn w:val="List5"/>
    <w:rsid w:val="004E7B97"/>
    <w:pPr>
      <w:numPr>
        <w:numId w:val="7"/>
      </w:numPr>
    </w:pPr>
  </w:style>
  <w:style w:type="paragraph" w:styleId="BlockText">
    <w:name w:val="Block Text"/>
    <w:basedOn w:val="Normal"/>
    <w:rsid w:val="004E7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B97"/>
    <w:rPr>
      <w:sz w:val="16"/>
      <w:vertAlign w:val="superscript"/>
    </w:rPr>
  </w:style>
  <w:style w:type="character" w:customStyle="1" w:styleId="Symbols">
    <w:name w:val="Symbols"/>
    <w:basedOn w:val="DefaultParagraphFont"/>
    <w:rsid w:val="004E7B97"/>
    <w:rPr>
      <w:rFonts w:ascii="Symbol" w:hAnsi="Symbol"/>
    </w:rPr>
  </w:style>
  <w:style w:type="character" w:customStyle="1" w:styleId="MenuOptions">
    <w:name w:val="Menu Options"/>
    <w:basedOn w:val="DefaultParagraphFont"/>
    <w:rsid w:val="004E7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B97"/>
    <w:rPr>
      <w:b/>
    </w:rPr>
  </w:style>
  <w:style w:type="character" w:customStyle="1" w:styleId="Underlined">
    <w:name w:val="Underlined"/>
    <w:basedOn w:val="DefaultParagraphFont"/>
    <w:rsid w:val="004E7B97"/>
    <w:rPr>
      <w:u w:val="single"/>
    </w:rPr>
  </w:style>
  <w:style w:type="paragraph" w:customStyle="1" w:styleId="TableBodyTextRight">
    <w:name w:val="Table Body Text Right"/>
    <w:basedOn w:val="TableBodyText"/>
    <w:rsid w:val="004E7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B97"/>
    <w:rPr>
      <w:sz w:val="18"/>
    </w:rPr>
  </w:style>
  <w:style w:type="paragraph" w:customStyle="1" w:styleId="BodySmallRight">
    <w:name w:val="Body Small Right"/>
    <w:basedOn w:val="BodyTextRight"/>
    <w:rsid w:val="004E7B97"/>
    <w:rPr>
      <w:sz w:val="18"/>
      <w:szCs w:val="18"/>
    </w:rPr>
  </w:style>
  <w:style w:type="paragraph" w:customStyle="1" w:styleId="MarginEdition">
    <w:name w:val="Margin Edition"/>
    <w:basedOn w:val="MarginNote"/>
    <w:rsid w:val="004E7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B97"/>
    <w:rPr>
      <w:sz w:val="2"/>
      <w:szCs w:val="2"/>
    </w:rPr>
  </w:style>
  <w:style w:type="character" w:customStyle="1" w:styleId="Small">
    <w:name w:val="Small"/>
    <w:basedOn w:val="DefaultParagraphFont"/>
    <w:rsid w:val="004E7B97"/>
    <w:rPr>
      <w:sz w:val="16"/>
    </w:rPr>
  </w:style>
  <w:style w:type="paragraph" w:customStyle="1" w:styleId="WideTable">
    <w:name w:val="Wide Table"/>
    <w:basedOn w:val="Normal"/>
    <w:rsid w:val="004E7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B97"/>
  </w:style>
  <w:style w:type="paragraph" w:styleId="Quote">
    <w:name w:val="Quote"/>
    <w:basedOn w:val="Heading1"/>
    <w:link w:val="QuoteChar"/>
    <w:qFormat/>
    <w:rsid w:val="004E7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B97"/>
    <w:pPr>
      <w:pageBreakBefore/>
    </w:pPr>
  </w:style>
  <w:style w:type="paragraph" w:customStyle="1" w:styleId="Border">
    <w:name w:val="Border"/>
    <w:basedOn w:val="Normal"/>
    <w:qFormat/>
    <w:rsid w:val="004E7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B97"/>
    <w:rPr>
      <w:u w:val="single"/>
    </w:rPr>
  </w:style>
  <w:style w:type="character" w:customStyle="1" w:styleId="BoldandItalics">
    <w:name w:val="Bold and Italics"/>
    <w:qFormat/>
    <w:rsid w:val="004E7B97"/>
    <w:rPr>
      <w:b/>
      <w:i/>
      <w:u w:val="none"/>
    </w:rPr>
  </w:style>
  <w:style w:type="paragraph" w:styleId="BalloonText">
    <w:name w:val="Balloon Text"/>
    <w:basedOn w:val="Normal"/>
    <w:link w:val="BalloonTextChar"/>
    <w:rsid w:val="004E7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B97"/>
    <w:pPr>
      <w:spacing w:before="0" w:after="0"/>
    </w:pPr>
  </w:style>
  <w:style w:type="paragraph" w:customStyle="1" w:styleId="BodyTextBold">
    <w:name w:val="Body Text Bold"/>
    <w:basedOn w:val="BodyText"/>
    <w:qFormat/>
    <w:rsid w:val="004E7B97"/>
    <w:rPr>
      <w:b/>
    </w:rPr>
  </w:style>
  <w:style w:type="character" w:styleId="Hyperlink">
    <w:name w:val="Hyperlink"/>
    <w:basedOn w:val="DefaultParagraphFont"/>
    <w:uiPriority w:val="99"/>
    <w:unhideWhenUsed/>
    <w:rsid w:val="00E80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3994</Characters>
  <Application>Microsoft Office Word</Application>
  <DocSecurity>0</DocSecurity>
  <Lines>107</Lines>
  <Paragraphs>78</Paragraphs>
  <ScaleCrop>false</ScaleCrop>
  <Company>Author-it Software Corporation Ltd.</Company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AURETR021 Inspect, service and repair electronic management, monitoring and tracking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