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16E" w:rsidP="00452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AURETR017 Overhaul charging system alternators</w:t>
      </w:r>
      <w:r>
        <w:fldChar w:fldCharType="end"/>
      </w:r>
    </w:p>
    <w:p w:rsidR="0045216E" w:rsidP="0045216E">
      <w:pPr>
        <w:pStyle w:val="Version"/>
        <w:sectPr w:rsidSect="002B2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27B" w:rsidP="002B227B">
      <w:pPr>
        <w:pStyle w:val="SuperHeading"/>
      </w:pPr>
      <w:r w:rsidRPr="002B227B">
        <w:t>Assessment Requirements for AURETR017 Overhaul charging system alternators</w:t>
      </w:r>
    </w:p>
    <w:p w:rsidR="00000000" w:rsidRPr="002B227B" w:rsidP="002B227B">
      <w:pPr>
        <w:pStyle w:val="Heading1"/>
      </w:pPr>
      <w:bookmarkStart w:id="1" w:name="O_773780"/>
      <w:bookmarkEnd w:id="1"/>
      <w:r w:rsidRPr="002B227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21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7B" w:rsidP="002B227B">
            <w:pPr>
              <w:pStyle w:val="BodyText"/>
            </w:pPr>
            <w:r w:rsidRPr="002B227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7B">
            <w:pPr>
              <w:pStyle w:val="BodyText"/>
              <w:rPr>
                <w:lang w:val="en-NZ"/>
              </w:rPr>
            </w:pPr>
            <w:r w:rsidRPr="002B227B">
              <w:rPr>
                <w:rStyle w:val="SpecialBold"/>
              </w:rPr>
              <w:t>Comment</w:t>
            </w:r>
          </w:p>
        </w:tc>
      </w:tr>
      <w:tr w:rsidTr="004521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7B">
            <w:pPr>
              <w:pStyle w:val="BodyText"/>
              <w:rPr>
                <w:lang w:val="en-NZ"/>
              </w:rPr>
            </w:pPr>
            <w:r w:rsidRPr="002B227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7B" w:rsidP="002B227B">
            <w:pPr>
              <w:pStyle w:val="BodyText"/>
            </w:pPr>
            <w:r w:rsidRPr="002B227B">
              <w:t>New unit of competency.</w:t>
            </w:r>
          </w:p>
        </w:tc>
      </w:tr>
    </w:tbl>
    <w:p w:rsidR="00000000" w:rsidRPr="002B227B" w:rsidP="002B227B">
      <w:pPr>
        <w:pStyle w:val="BodyText"/>
      </w:pPr>
    </w:p>
    <w:p w:rsidR="00000000" w:rsidRPr="002B227B" w:rsidP="002B227B">
      <w:pPr>
        <w:pStyle w:val="AllowPageBreak"/>
      </w:pPr>
    </w:p>
    <w:p w:rsidR="00000000" w:rsidRPr="002B227B" w:rsidP="002B227B">
      <w:pPr>
        <w:pStyle w:val="Heading1"/>
      </w:pPr>
      <w:bookmarkStart w:id="2" w:name="O_773781"/>
      <w:bookmarkEnd w:id="2"/>
      <w:r w:rsidRPr="002B227B">
        <w:t>Performance Evidence</w:t>
      </w:r>
    </w:p>
    <w:p w:rsidR="00000000" w:rsidRPr="002B227B" w:rsidP="0045216E">
      <w:pPr>
        <w:pStyle w:val="BodyText"/>
      </w:pPr>
      <w:r w:rsidRPr="002B227B">
        <w:t>Before competency can be deter</w:t>
      </w:r>
      <w:r w:rsidRPr="002B227B">
        <w:t>mined, individuals must demonstrate they can perform the following according to the standards defined in this unit’s elements, performance criteria, range of conditions and foundation skills:</w:t>
      </w:r>
    </w:p>
    <w:p w:rsidR="00000000" w:rsidRPr="002B227B" w:rsidP="002B227B">
      <w:pPr>
        <w:pStyle w:val="ListBullet"/>
      </w:pPr>
      <w:r w:rsidRPr="002B227B">
        <w:t>overhaul charging system alternators of two different vehicles,</w:t>
      </w:r>
      <w:r w:rsidRPr="002B227B">
        <w:t xml:space="preserve"> vessels or machinery, which include an alternator with a:</w:t>
      </w:r>
    </w:p>
    <w:p w:rsidR="00000000" w:rsidRPr="002B227B" w:rsidP="002B227B">
      <w:pPr>
        <w:pStyle w:val="ListBullet2"/>
      </w:pPr>
      <w:r w:rsidRPr="002B227B">
        <w:t>star connected stator</w:t>
      </w:r>
    </w:p>
    <w:p w:rsidR="00000000" w:rsidRPr="002B227B" w:rsidP="002B227B">
      <w:pPr>
        <w:pStyle w:val="ListBullet2"/>
      </w:pPr>
      <w:r w:rsidRPr="002B227B">
        <w:t>delta connected stator.</w:t>
      </w:r>
    </w:p>
    <w:p w:rsidR="00000000" w:rsidRPr="002B227B" w:rsidP="002B227B">
      <w:pPr>
        <w:pStyle w:val="AllowPageBreak"/>
      </w:pPr>
    </w:p>
    <w:p w:rsidR="00000000" w:rsidRPr="002B227B" w:rsidP="002B227B">
      <w:pPr>
        <w:pStyle w:val="Heading1"/>
      </w:pPr>
      <w:bookmarkStart w:id="3" w:name="O_773782"/>
      <w:bookmarkEnd w:id="3"/>
      <w:r w:rsidRPr="002B227B">
        <w:t>Knowledge Evidence</w:t>
      </w:r>
    </w:p>
    <w:p w:rsidR="00000000" w:rsidRPr="002B227B" w:rsidP="0045216E">
      <w:pPr>
        <w:pStyle w:val="BodyText"/>
      </w:pPr>
      <w:r w:rsidRPr="002B227B">
        <w:t>Individuals must be able to demonstrate knowledge of:</w:t>
      </w:r>
    </w:p>
    <w:p w:rsidR="00000000" w:rsidRPr="002B227B" w:rsidP="002B227B">
      <w:pPr>
        <w:pStyle w:val="ListBullet"/>
      </w:pPr>
      <w:r w:rsidRPr="002B227B">
        <w:t>work health and safety (WHS) and occupational health and safety (OHS) requirements relating to overhauling charging system alternators, including procedures for:</w:t>
      </w:r>
    </w:p>
    <w:p w:rsidR="00000000" w:rsidRPr="002B227B" w:rsidP="002B227B">
      <w:pPr>
        <w:pStyle w:val="ListBullet2"/>
      </w:pPr>
      <w:r w:rsidRPr="002B227B">
        <w:t>using specialised tools and equipment</w:t>
      </w:r>
    </w:p>
    <w:p w:rsidR="00000000" w:rsidRPr="002B227B" w:rsidP="002B227B">
      <w:pPr>
        <w:pStyle w:val="ListBullet2"/>
      </w:pPr>
      <w:r w:rsidRPr="002B227B">
        <w:t>using appropriate personal protective equipment (PPE)</w:t>
      </w:r>
    </w:p>
    <w:p w:rsidR="00000000" w:rsidRPr="002B227B" w:rsidP="002B227B">
      <w:pPr>
        <w:pStyle w:val="ListBullet2"/>
      </w:pPr>
      <w:r w:rsidRPr="002B227B">
        <w:t>i</w:t>
      </w:r>
      <w:r w:rsidRPr="002B227B">
        <w:t>dentifying hazards and controlling risks associated with wearing jewellery while working around high current wiring systems</w:t>
      </w:r>
    </w:p>
    <w:p w:rsidR="00000000" w:rsidRPr="002B227B" w:rsidP="002B227B">
      <w:pPr>
        <w:pStyle w:val="ListBullet"/>
      </w:pPr>
      <w:r w:rsidRPr="002B227B">
        <w:t>environmental requirements, including procedures:</w:t>
      </w:r>
    </w:p>
    <w:p w:rsidR="00000000" w:rsidRPr="002B227B" w:rsidP="002B227B">
      <w:pPr>
        <w:pStyle w:val="ListBullet2"/>
      </w:pPr>
      <w:r w:rsidRPr="002B227B">
        <w:t>found in safety data sheets (SDS) relating to toxic and corrosive substances</w:t>
      </w:r>
    </w:p>
    <w:p w:rsidR="00000000" w:rsidRPr="002B227B" w:rsidP="002B227B">
      <w:pPr>
        <w:pStyle w:val="ListBullet2"/>
      </w:pPr>
      <w:r w:rsidRPr="002B227B">
        <w:t>for</w:t>
      </w:r>
      <w:r w:rsidRPr="002B227B">
        <w:t xml:space="preserve"> disposing of replaced alternator components</w:t>
      </w:r>
    </w:p>
    <w:p w:rsidR="00000000" w:rsidRPr="002B227B" w:rsidP="002B227B">
      <w:pPr>
        <w:pStyle w:val="ListBullet"/>
      </w:pPr>
      <w:r w:rsidRPr="002B227B">
        <w:t>types, characteristics and operating principles of charging system alternators, including alternators with both star and delta connected stators</w:t>
      </w:r>
    </w:p>
    <w:p w:rsidR="00000000" w:rsidRPr="002B227B" w:rsidP="002B227B">
      <w:pPr>
        <w:pStyle w:val="ListBullet"/>
      </w:pPr>
      <w:r w:rsidRPr="002B227B">
        <w:t>charging system alternator overhaul procedures, including:</w:t>
      </w:r>
    </w:p>
    <w:p w:rsidR="00000000" w:rsidRPr="002B227B" w:rsidP="002B227B">
      <w:pPr>
        <w:pStyle w:val="ListBullet2"/>
      </w:pPr>
      <w:r w:rsidRPr="002B227B">
        <w:t>methods for cleaning and preparing charging system alternators for overhaul</w:t>
      </w:r>
    </w:p>
    <w:p w:rsidR="00000000" w:rsidRPr="002B227B" w:rsidP="002B227B">
      <w:pPr>
        <w:pStyle w:val="ListBullet2"/>
      </w:pPr>
      <w:r w:rsidRPr="002B227B">
        <w:t>charging system alternator dismantling procedures</w:t>
      </w:r>
    </w:p>
    <w:p w:rsidR="00000000" w:rsidRPr="002B227B" w:rsidP="002B227B">
      <w:pPr>
        <w:pStyle w:val="ListBullet2"/>
      </w:pPr>
      <w:r w:rsidRPr="002B227B">
        <w:t>charging system alternator repair and adjustment procedures, including:</w:t>
      </w:r>
    </w:p>
    <w:p w:rsidR="00000000" w:rsidRPr="002B227B" w:rsidP="002B227B">
      <w:pPr>
        <w:pStyle w:val="ListBullet3"/>
      </w:pPr>
      <w:r w:rsidRPr="002B227B">
        <w:t>brushes to slip ring alignment</w:t>
      </w:r>
    </w:p>
    <w:p w:rsidR="00000000" w:rsidRPr="002B227B" w:rsidP="002B227B">
      <w:pPr>
        <w:pStyle w:val="ListBullet3"/>
      </w:pPr>
      <w:r w:rsidRPr="002B227B">
        <w:t>bearings shimmed and seate</w:t>
      </w:r>
      <w:r w:rsidRPr="002B227B">
        <w:t>d in alternator housing</w:t>
      </w:r>
    </w:p>
    <w:p w:rsidR="00000000" w:rsidRPr="002B227B" w:rsidP="002B227B">
      <w:pPr>
        <w:pStyle w:val="ListBullet3"/>
      </w:pPr>
      <w:r w:rsidRPr="002B227B">
        <w:t>rotors rebalanced</w:t>
      </w:r>
    </w:p>
    <w:p w:rsidR="00000000" w:rsidRPr="002B227B" w:rsidP="002B227B">
      <w:pPr>
        <w:pStyle w:val="ListBullet3"/>
      </w:pPr>
      <w:r w:rsidRPr="002B227B">
        <w:t>rectifier installation to alternator housing</w:t>
      </w:r>
    </w:p>
    <w:p w:rsidR="00000000" w:rsidRPr="002B227B" w:rsidP="002B227B">
      <w:pPr>
        <w:pStyle w:val="ListBullet2"/>
      </w:pPr>
      <w:r w:rsidRPr="002B227B">
        <w:t>component assembly procedures, including procedures for measuring and calculating tolerances, and adjusting components</w:t>
      </w:r>
    </w:p>
    <w:p w:rsidR="00000000" w:rsidRPr="002B227B" w:rsidP="002B227B">
      <w:pPr>
        <w:pStyle w:val="ListBullet"/>
      </w:pPr>
      <w:r w:rsidRPr="002B227B">
        <w:t>post-overhaul bench testing procedures, including:</w:t>
      </w:r>
    </w:p>
    <w:p w:rsidR="00000000" w:rsidRPr="002B227B" w:rsidP="002B227B">
      <w:pPr>
        <w:pStyle w:val="ListBullet2"/>
      </w:pPr>
      <w:r w:rsidRPr="002B227B">
        <w:t>use of load simulator load tester for complete system analysis</w:t>
      </w:r>
    </w:p>
    <w:p w:rsidR="00000000" w:rsidRPr="002B227B" w:rsidP="002B227B">
      <w:pPr>
        <w:pStyle w:val="ListBullet2"/>
      </w:pPr>
      <w:r w:rsidRPr="002B227B">
        <w:t>analysis of system operation while using gauges, current clamps, electrical test equipment, scan tools, oscilloscopes and other industry-rele</w:t>
      </w:r>
      <w:r w:rsidRPr="002B227B">
        <w:t>vant test equipment</w:t>
      </w:r>
    </w:p>
    <w:p w:rsidR="00000000" w:rsidRPr="002B227B" w:rsidP="002B227B">
      <w:pPr>
        <w:pStyle w:val="ListBullet"/>
      </w:pPr>
      <w:r w:rsidRPr="002B227B">
        <w:t>post-overhaul testing procedures of alternator in vehicle, vessel or machinery, including:</w:t>
      </w:r>
    </w:p>
    <w:p w:rsidR="00000000" w:rsidRPr="002B227B" w:rsidP="002B227B">
      <w:pPr>
        <w:pStyle w:val="ListBullet2"/>
      </w:pPr>
      <w:r w:rsidRPr="002B227B">
        <w:t>accessing and interpreting diagnostic trouble codes (DTCs)</w:t>
      </w:r>
    </w:p>
    <w:p w:rsidR="00000000" w:rsidRPr="002B227B" w:rsidP="002B227B">
      <w:pPr>
        <w:pStyle w:val="ListBullet2"/>
      </w:pPr>
      <w:r w:rsidRPr="002B227B">
        <w:t>DTC clearing procedures</w:t>
      </w:r>
    </w:p>
    <w:p w:rsidR="00000000" w:rsidRPr="002B227B" w:rsidP="002B227B">
      <w:pPr>
        <w:pStyle w:val="ListBullet2"/>
      </w:pPr>
      <w:r w:rsidRPr="002B227B">
        <w:t>checking for electrical connector mating</w:t>
      </w:r>
    </w:p>
    <w:p w:rsidR="00000000" w:rsidRPr="002B227B" w:rsidP="002B227B">
      <w:pPr>
        <w:pStyle w:val="ListBullet2"/>
      </w:pPr>
      <w:r w:rsidRPr="002B227B">
        <w:t>checking for correct charging voltage at battery.</w:t>
      </w:r>
    </w:p>
    <w:p w:rsidR="00000000" w:rsidRPr="002B227B" w:rsidP="002B227B">
      <w:pPr>
        <w:pStyle w:val="AllowPageBreak"/>
      </w:pPr>
    </w:p>
    <w:p w:rsidR="00000000" w:rsidRPr="002B227B" w:rsidP="002B227B">
      <w:pPr>
        <w:pStyle w:val="Heading1"/>
      </w:pPr>
      <w:bookmarkStart w:id="4" w:name="O_773783"/>
      <w:bookmarkEnd w:id="4"/>
      <w:r w:rsidRPr="002B227B">
        <w:t>Assessment Conditions</w:t>
      </w:r>
    </w:p>
    <w:p w:rsidR="00000000" w:rsidRPr="002B227B" w:rsidP="0045216E">
      <w:pPr>
        <w:pStyle w:val="BodyText"/>
      </w:pPr>
      <w:r w:rsidRPr="002B227B">
        <w:t>Assessors must satisfy NVR/AQTF assessor requirements.</w:t>
      </w:r>
    </w:p>
    <w:p w:rsidR="00000000" w:rsidRPr="002B227B" w:rsidP="0045216E">
      <w:pPr>
        <w:pStyle w:val="BodyText"/>
      </w:pPr>
      <w:r w:rsidRPr="002B227B">
        <w:t>Competency is to be assessed in the workplace or a simulated environment that accurately reflects performance i</w:t>
      </w:r>
      <w:r w:rsidRPr="002B227B">
        <w:t>n a real workplace setting.</w:t>
      </w:r>
    </w:p>
    <w:p w:rsidR="00000000" w:rsidRPr="002B227B" w:rsidP="0045216E">
      <w:pPr>
        <w:pStyle w:val="BodyText"/>
      </w:pPr>
      <w:r w:rsidRPr="002B227B">
        <w:t>Assessment must include direct observation of tasks.</w:t>
      </w:r>
    </w:p>
    <w:p w:rsidR="00000000" w:rsidRPr="002B227B" w:rsidP="0045216E">
      <w:pPr>
        <w:pStyle w:val="BodyText"/>
      </w:pPr>
      <w:r w:rsidRPr="002B227B">
        <w:t xml:space="preserve">Where assessment of competency includes third-party evidence, individuals must provide evidence that links them to the charging system alternators that they have worked on, </w:t>
      </w:r>
      <w:r w:rsidRPr="002B227B">
        <w:t>e.g. repair orders.</w:t>
      </w:r>
    </w:p>
    <w:p w:rsidR="00000000" w:rsidRPr="002B227B" w:rsidP="0045216E">
      <w:pPr>
        <w:pStyle w:val="BodyText"/>
      </w:pPr>
      <w:r w:rsidRPr="002B227B">
        <w:t>Assessors must verify performance evidence through questioning on skills and knowledge to ensure correct interpretation and application.</w:t>
      </w:r>
    </w:p>
    <w:p w:rsidR="00000000" w:rsidRPr="002B227B" w:rsidP="0045216E">
      <w:pPr>
        <w:pStyle w:val="BodyText"/>
      </w:pPr>
      <w:r w:rsidRPr="002B227B">
        <w:t>The following resources must be made available:</w:t>
      </w:r>
    </w:p>
    <w:p w:rsidR="00000000" w:rsidRPr="002B227B" w:rsidP="002B227B">
      <w:pPr>
        <w:pStyle w:val="ListBullet"/>
      </w:pPr>
      <w:r w:rsidRPr="002B227B">
        <w:t>automotive repair workplace or simulated workpla</w:t>
      </w:r>
      <w:r w:rsidRPr="002B227B">
        <w:t>ce</w:t>
      </w:r>
    </w:p>
    <w:p w:rsidR="00000000" w:rsidRPr="002B227B" w:rsidP="002B227B">
      <w:pPr>
        <w:pStyle w:val="ListBullet"/>
      </w:pPr>
      <w:r w:rsidRPr="002B227B">
        <w:t>workplace instructions</w:t>
      </w:r>
    </w:p>
    <w:p w:rsidR="00000000" w:rsidRPr="002B227B" w:rsidP="002B227B">
      <w:pPr>
        <w:pStyle w:val="ListBullet"/>
      </w:pPr>
      <w:r w:rsidRPr="002B227B">
        <w:t>manufacturer specifications relating to charging system alternators</w:t>
      </w:r>
    </w:p>
    <w:p w:rsidR="00000000" w:rsidRPr="002B227B" w:rsidP="002B227B">
      <w:pPr>
        <w:pStyle w:val="ListBullet"/>
      </w:pPr>
      <w:r w:rsidRPr="002B227B">
        <w:t>two different vehicles, vessels or machinery with star and delta connected stators and requiring overhaul</w:t>
      </w:r>
    </w:p>
    <w:p w:rsidR="00000000" w:rsidRPr="002B227B" w:rsidP="002B227B">
      <w:pPr>
        <w:pStyle w:val="ListBullet"/>
      </w:pPr>
      <w:r w:rsidRPr="002B227B">
        <w:t>tools, equipment and materials appropriate for overhauling and adjusting a range of alternators.</w:t>
      </w:r>
    </w:p>
    <w:p w:rsidR="00000000" w:rsidRPr="002B227B" w:rsidP="002B227B">
      <w:pPr>
        <w:pStyle w:val="AllowPageBreak"/>
      </w:pPr>
    </w:p>
    <w:p w:rsidR="00000000" w:rsidRPr="002B227B" w:rsidP="002B227B">
      <w:pPr>
        <w:pStyle w:val="Heading1"/>
      </w:pPr>
      <w:bookmarkStart w:id="5" w:name="O_773786"/>
      <w:bookmarkEnd w:id="5"/>
      <w:r w:rsidRPr="002B227B">
        <w:t>Links</w:t>
      </w:r>
    </w:p>
    <w:p w:rsidR="00000000" w:rsidRPr="002B227B" w:rsidP="0045216E">
      <w:pPr>
        <w:pStyle w:val="BodyText"/>
      </w:pPr>
      <w:r w:rsidRPr="002B2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67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227B" w:rsidP="0045216E">
      <w:pPr>
        <w:pStyle w:val="BodyText"/>
      </w:pPr>
      <w:r w:rsidRPr="002B2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67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227B" w:rsidP="002B227B"/>
    <w:sectPr w:rsidSect="002B2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7B" w:rsidRPr="0045216E" w:rsidP="00452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6E" w:rsidP="002B2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16E" w:rsidP="002B2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5216E" w:rsidP="002B2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27B" w:rsidRPr="0045216E" w:rsidP="00452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6E" w:rsidRPr="002D2AF8" w:rsidP="002B2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AURETR017 Overhaul charging system alternators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5216E" w:rsidP="002B2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E06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AE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CB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27B"/>
  </w:style>
  <w:style w:type="character" w:customStyle="1" w:styleId="Heading1Char">
    <w:name w:val="Heading 1 Char"/>
    <w:basedOn w:val="DefaultParagraphFont"/>
    <w:link w:val="Heading1"/>
    <w:rsid w:val="002B2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2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27B"/>
    <w:rPr>
      <w:b/>
      <w:spacing w:val="0"/>
    </w:rPr>
  </w:style>
  <w:style w:type="paragraph" w:styleId="ListBullet2">
    <w:name w:val="List Bullet 2"/>
    <w:basedOn w:val="List2"/>
    <w:rsid w:val="002B22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22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2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27B"/>
    <w:rPr>
      <w:i/>
    </w:rPr>
  </w:style>
  <w:style w:type="paragraph" w:styleId="Caption">
    <w:name w:val="caption"/>
    <w:basedOn w:val="BodyText"/>
    <w:next w:val="Normal"/>
    <w:qFormat/>
    <w:rsid w:val="002B2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27B"/>
  </w:style>
  <w:style w:type="paragraph" w:styleId="TableofFigures">
    <w:name w:val="table of figures"/>
    <w:basedOn w:val="Normal"/>
    <w:next w:val="Normal"/>
    <w:semiHidden/>
    <w:rsid w:val="002B2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2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227B"/>
    <w:rPr>
      <w:rFonts w:ascii="Wingdings" w:hAnsi="Wingdings"/>
    </w:rPr>
  </w:style>
  <w:style w:type="paragraph" w:customStyle="1" w:styleId="TableHeading">
    <w:name w:val="Table Heading"/>
    <w:basedOn w:val="HeadingBase"/>
    <w:rsid w:val="002B2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27B"/>
    <w:rPr>
      <w:color w:val="0033CC"/>
      <w:u w:val="none"/>
    </w:rPr>
  </w:style>
  <w:style w:type="paragraph" w:customStyle="1" w:styleId="BodyTextRight">
    <w:name w:val="Body Text Right"/>
    <w:basedOn w:val="BodyText"/>
    <w:rsid w:val="002B2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2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27B"/>
    <w:rPr>
      <w:sz w:val="32"/>
    </w:rPr>
  </w:style>
  <w:style w:type="paragraph" w:customStyle="1" w:styleId="HeadingProcedure">
    <w:name w:val="Heading Procedure"/>
    <w:basedOn w:val="HeadingBase"/>
    <w:next w:val="Normal"/>
    <w:rsid w:val="002B2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27B"/>
    <w:pPr>
      <w:spacing w:before="60" w:after="60"/>
    </w:pPr>
  </w:style>
  <w:style w:type="paragraph" w:styleId="ListContinue">
    <w:name w:val="List Continue"/>
    <w:basedOn w:val="List"/>
    <w:rsid w:val="002B227B"/>
    <w:pPr>
      <w:ind w:firstLine="0"/>
    </w:pPr>
  </w:style>
  <w:style w:type="paragraph" w:customStyle="1" w:styleId="ListNote">
    <w:name w:val="List Note"/>
    <w:basedOn w:val="List"/>
    <w:rsid w:val="002B2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27B"/>
    <w:rPr>
      <w:rFonts w:ascii="Courier New" w:hAnsi="Courier New"/>
    </w:rPr>
  </w:style>
  <w:style w:type="paragraph" w:customStyle="1" w:styleId="NoteBullet">
    <w:name w:val="Note Bullet"/>
    <w:basedOn w:val="Note"/>
    <w:rsid w:val="002B2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2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2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27B"/>
    <w:rPr>
      <w:b/>
      <w:smallCaps/>
    </w:rPr>
  </w:style>
  <w:style w:type="paragraph" w:customStyle="1" w:styleId="TableListNumber">
    <w:name w:val="Table List Number"/>
    <w:basedOn w:val="ListNumber"/>
    <w:rsid w:val="002B2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27B"/>
    <w:pPr>
      <w:numPr>
        <w:numId w:val="10"/>
      </w:numPr>
    </w:pPr>
  </w:style>
  <w:style w:type="paragraph" w:customStyle="1" w:styleId="ListAlpha2">
    <w:name w:val="List Alpha 2"/>
    <w:basedOn w:val="List2"/>
    <w:rsid w:val="002B227B"/>
    <w:pPr>
      <w:numPr>
        <w:numId w:val="9"/>
      </w:numPr>
    </w:pPr>
  </w:style>
  <w:style w:type="paragraph" w:styleId="List2">
    <w:name w:val="List 2"/>
    <w:basedOn w:val="BodyText"/>
    <w:rsid w:val="002B2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2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22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227B"/>
    <w:pPr>
      <w:numPr>
        <w:numId w:val="5"/>
      </w:numPr>
    </w:pPr>
  </w:style>
  <w:style w:type="paragraph" w:styleId="ListContinue2">
    <w:name w:val="List Continue 2"/>
    <w:basedOn w:val="List2"/>
    <w:rsid w:val="002B227B"/>
    <w:pPr>
      <w:ind w:firstLine="0"/>
    </w:pPr>
  </w:style>
  <w:style w:type="paragraph" w:styleId="ListContinue3">
    <w:name w:val="List Continue 3"/>
    <w:basedOn w:val="List3"/>
    <w:rsid w:val="002B227B"/>
    <w:pPr>
      <w:ind w:left="1021" w:firstLine="0"/>
    </w:pPr>
  </w:style>
  <w:style w:type="paragraph" w:styleId="ListContinue4">
    <w:name w:val="List Continue 4"/>
    <w:basedOn w:val="List4"/>
    <w:rsid w:val="002B227B"/>
    <w:pPr>
      <w:ind w:firstLine="0"/>
    </w:pPr>
  </w:style>
  <w:style w:type="paragraph" w:styleId="ListContinue5">
    <w:name w:val="List Continue 5"/>
    <w:basedOn w:val="List5"/>
    <w:rsid w:val="002B227B"/>
    <w:pPr>
      <w:ind w:firstLine="0"/>
    </w:pPr>
  </w:style>
  <w:style w:type="paragraph" w:styleId="ListNumber3">
    <w:name w:val="List Number 3"/>
    <w:basedOn w:val="List3"/>
    <w:rsid w:val="002B227B"/>
    <w:pPr>
      <w:numPr>
        <w:numId w:val="6"/>
      </w:numPr>
    </w:pPr>
  </w:style>
  <w:style w:type="paragraph" w:styleId="ListNumber4">
    <w:name w:val="List Number 4"/>
    <w:basedOn w:val="List4"/>
    <w:rsid w:val="002B227B"/>
    <w:pPr>
      <w:numPr>
        <w:numId w:val="7"/>
      </w:numPr>
    </w:pPr>
  </w:style>
  <w:style w:type="paragraph" w:styleId="ListNumber5">
    <w:name w:val="List Number 5"/>
    <w:basedOn w:val="List5"/>
    <w:rsid w:val="002B227B"/>
    <w:pPr>
      <w:numPr>
        <w:numId w:val="8"/>
      </w:numPr>
    </w:pPr>
  </w:style>
  <w:style w:type="paragraph" w:styleId="BlockText">
    <w:name w:val="Block Text"/>
    <w:basedOn w:val="Normal"/>
    <w:rsid w:val="002B2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27B"/>
    <w:rPr>
      <w:sz w:val="16"/>
      <w:vertAlign w:val="superscript"/>
    </w:rPr>
  </w:style>
  <w:style w:type="character" w:customStyle="1" w:styleId="Symbols">
    <w:name w:val="Symbols"/>
    <w:basedOn w:val="DefaultParagraphFont"/>
    <w:rsid w:val="002B227B"/>
    <w:rPr>
      <w:rFonts w:ascii="Symbol" w:hAnsi="Symbol"/>
    </w:rPr>
  </w:style>
  <w:style w:type="character" w:customStyle="1" w:styleId="MenuOptions">
    <w:name w:val="Menu Options"/>
    <w:basedOn w:val="DefaultParagraphFont"/>
    <w:rsid w:val="002B2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27B"/>
    <w:rPr>
      <w:b/>
    </w:rPr>
  </w:style>
  <w:style w:type="character" w:customStyle="1" w:styleId="Underlined">
    <w:name w:val="Underlined"/>
    <w:basedOn w:val="DefaultParagraphFont"/>
    <w:rsid w:val="002B227B"/>
    <w:rPr>
      <w:u w:val="single"/>
    </w:rPr>
  </w:style>
  <w:style w:type="paragraph" w:customStyle="1" w:styleId="TableBodyTextRight">
    <w:name w:val="Table Body Text Right"/>
    <w:basedOn w:val="TableBodyText"/>
    <w:rsid w:val="002B2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27B"/>
    <w:rPr>
      <w:sz w:val="18"/>
    </w:rPr>
  </w:style>
  <w:style w:type="paragraph" w:customStyle="1" w:styleId="BodySmallRight">
    <w:name w:val="Body Small Right"/>
    <w:basedOn w:val="BodyTextRight"/>
    <w:rsid w:val="002B227B"/>
    <w:rPr>
      <w:sz w:val="18"/>
      <w:szCs w:val="18"/>
    </w:rPr>
  </w:style>
  <w:style w:type="paragraph" w:customStyle="1" w:styleId="MarginEdition">
    <w:name w:val="Margin Edition"/>
    <w:basedOn w:val="MarginNote"/>
    <w:rsid w:val="002B2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27B"/>
    <w:rPr>
      <w:sz w:val="2"/>
      <w:szCs w:val="2"/>
    </w:rPr>
  </w:style>
  <w:style w:type="character" w:customStyle="1" w:styleId="Small">
    <w:name w:val="Small"/>
    <w:basedOn w:val="DefaultParagraphFont"/>
    <w:rsid w:val="002B227B"/>
    <w:rPr>
      <w:sz w:val="16"/>
    </w:rPr>
  </w:style>
  <w:style w:type="paragraph" w:customStyle="1" w:styleId="WideTable">
    <w:name w:val="Wide Table"/>
    <w:basedOn w:val="Normal"/>
    <w:rsid w:val="002B2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27B"/>
  </w:style>
  <w:style w:type="paragraph" w:styleId="Quote">
    <w:name w:val="Quote"/>
    <w:basedOn w:val="Heading1"/>
    <w:link w:val="QuoteChar"/>
    <w:qFormat/>
    <w:rsid w:val="002B2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27B"/>
    <w:pPr>
      <w:pageBreakBefore/>
    </w:pPr>
  </w:style>
  <w:style w:type="paragraph" w:customStyle="1" w:styleId="Border">
    <w:name w:val="Border"/>
    <w:basedOn w:val="Normal"/>
    <w:qFormat/>
    <w:rsid w:val="002B2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27B"/>
    <w:rPr>
      <w:u w:val="single"/>
    </w:rPr>
  </w:style>
  <w:style w:type="character" w:customStyle="1" w:styleId="BoldandItalics">
    <w:name w:val="Bold and Italics"/>
    <w:qFormat/>
    <w:rsid w:val="002B227B"/>
    <w:rPr>
      <w:b/>
      <w:i/>
      <w:u w:val="none"/>
    </w:rPr>
  </w:style>
  <w:style w:type="paragraph" w:styleId="BalloonText">
    <w:name w:val="Balloon Text"/>
    <w:basedOn w:val="Normal"/>
    <w:link w:val="BalloonTextChar"/>
    <w:rsid w:val="002B2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27B"/>
    <w:pPr>
      <w:spacing w:before="0" w:after="0"/>
    </w:pPr>
  </w:style>
  <w:style w:type="paragraph" w:customStyle="1" w:styleId="BodyTextBold">
    <w:name w:val="Body Text Bold"/>
    <w:basedOn w:val="BodyText"/>
    <w:qFormat/>
    <w:rsid w:val="002B227B"/>
    <w:rPr>
      <w:b/>
    </w:rPr>
  </w:style>
  <w:style w:type="character" w:styleId="Hyperlink">
    <w:name w:val="Hyperlink"/>
    <w:basedOn w:val="DefaultParagraphFont"/>
    <w:uiPriority w:val="99"/>
    <w:unhideWhenUsed/>
    <w:rsid w:val="00452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3553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AURETR017 Overhaul charging system alternators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