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7C6" w:rsidP="009D07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AURETR015 Inspect, test and service batteries</w:t>
      </w:r>
      <w:r>
        <w:fldChar w:fldCharType="end"/>
      </w:r>
    </w:p>
    <w:p w:rsidR="009D07C6" w:rsidP="009D07C6">
      <w:pPr>
        <w:pStyle w:val="Version"/>
        <w:sectPr w:rsidSect="00243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3B26" w:rsidP="00243B26">
      <w:pPr>
        <w:pStyle w:val="SuperHeading"/>
      </w:pPr>
      <w:r w:rsidRPr="00243B26">
        <w:t>Assessment Requirements for AURETR015 Inspect, test and service batteries</w:t>
      </w:r>
    </w:p>
    <w:p w:rsidR="00000000" w:rsidRPr="00243B26" w:rsidP="00243B26">
      <w:pPr>
        <w:pStyle w:val="Heading1"/>
      </w:pPr>
      <w:bookmarkStart w:id="1" w:name="O_794605"/>
      <w:bookmarkEnd w:id="1"/>
      <w:r w:rsidRPr="00243B2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D07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26" w:rsidP="00243B26">
            <w:pPr>
              <w:pStyle w:val="BodyText"/>
            </w:pPr>
            <w:r w:rsidRPr="00243B2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26">
            <w:pPr>
              <w:pStyle w:val="BodyText"/>
              <w:rPr>
                <w:lang w:val="en-NZ"/>
              </w:rPr>
            </w:pPr>
            <w:r w:rsidRPr="00243B26">
              <w:rPr>
                <w:rStyle w:val="SpecialBold"/>
              </w:rPr>
              <w:t>Comment</w:t>
            </w:r>
          </w:p>
        </w:tc>
      </w:tr>
      <w:tr w:rsidTr="009D07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B26">
            <w:pPr>
              <w:pStyle w:val="BodyText"/>
              <w:rPr>
                <w:lang w:val="en-NZ"/>
              </w:rPr>
            </w:pPr>
            <w:r w:rsidRPr="00243B2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B26" w:rsidP="00243B26">
            <w:pPr>
              <w:pStyle w:val="BodyText"/>
            </w:pPr>
            <w:r w:rsidRPr="00243B26">
              <w:t>New unit of competency.</w:t>
            </w:r>
          </w:p>
        </w:tc>
      </w:tr>
    </w:tbl>
    <w:p w:rsidR="00000000" w:rsidRPr="00243B26" w:rsidP="00243B26">
      <w:pPr>
        <w:pStyle w:val="BodyText"/>
      </w:pPr>
    </w:p>
    <w:p w:rsidR="00000000" w:rsidRPr="00243B26" w:rsidP="00243B26">
      <w:pPr>
        <w:pStyle w:val="AllowPageBreak"/>
      </w:pPr>
    </w:p>
    <w:p w:rsidR="00000000" w:rsidRPr="00243B26" w:rsidP="00243B26">
      <w:pPr>
        <w:pStyle w:val="Heading1"/>
      </w:pPr>
      <w:bookmarkStart w:id="2" w:name="O_794606"/>
      <w:bookmarkEnd w:id="2"/>
      <w:r w:rsidRPr="00243B26">
        <w:t>Performance Evidence</w:t>
      </w:r>
    </w:p>
    <w:p w:rsidR="00000000" w:rsidRPr="00243B26" w:rsidP="009D07C6">
      <w:pPr>
        <w:pStyle w:val="BodyText"/>
      </w:pPr>
      <w:r w:rsidRPr="00243B26">
        <w:t>Before competency can be determined, individuals must demonstrate they can perform the following according to the standard defined in the unit’s elements, performance criteria, range of conditions and foundation skills:</w:t>
      </w:r>
    </w:p>
    <w:p w:rsidR="00000000" w:rsidRPr="00243B26" w:rsidP="00243B26">
      <w:pPr>
        <w:pStyle w:val="ListBullet"/>
      </w:pPr>
      <w:r w:rsidRPr="00243B26">
        <w:t>inspect, test and service the batte</w:t>
      </w:r>
      <w:r w:rsidRPr="00243B26">
        <w:t>ries of three different vehicles, vessels or machinery, in which the work must involve one maintenance-free battery.</w:t>
      </w:r>
    </w:p>
    <w:p w:rsidR="00000000" w:rsidRPr="00243B26" w:rsidP="00243B26">
      <w:pPr>
        <w:pStyle w:val="AllowPageBreak"/>
      </w:pPr>
    </w:p>
    <w:p w:rsidR="00000000" w:rsidRPr="00243B26" w:rsidP="00243B26">
      <w:pPr>
        <w:pStyle w:val="Heading1"/>
      </w:pPr>
      <w:bookmarkStart w:id="3" w:name="O_794607"/>
      <w:bookmarkEnd w:id="3"/>
      <w:r w:rsidRPr="00243B26">
        <w:t>Knowledge Evidence</w:t>
      </w:r>
    </w:p>
    <w:p w:rsidR="00000000" w:rsidRPr="00243B26" w:rsidP="009D07C6">
      <w:pPr>
        <w:pStyle w:val="BodyText"/>
      </w:pPr>
      <w:r w:rsidRPr="00243B26">
        <w:t>Individuals must be able to demonstrate knowledge of:</w:t>
      </w:r>
    </w:p>
    <w:p w:rsidR="00000000" w:rsidRPr="00243B26" w:rsidP="00243B26">
      <w:pPr>
        <w:pStyle w:val="ListBullet"/>
      </w:pPr>
      <w:r w:rsidRPr="00243B26">
        <w:t>work health and safety (WHS) and occupational health and safety (OHS) requirements relating to inspecting, testing and servicing batteries, including procedures for:</w:t>
      </w:r>
    </w:p>
    <w:p w:rsidR="00000000" w:rsidRPr="00243B26" w:rsidP="00243B26">
      <w:pPr>
        <w:pStyle w:val="ListBullet2"/>
      </w:pPr>
      <w:r w:rsidRPr="00243B26">
        <w:t xml:space="preserve">selecting and using personal protective equipment (PPE), including clothing, and eye and </w:t>
      </w:r>
      <w:r w:rsidRPr="00243B26">
        <w:t>hand protection</w:t>
      </w:r>
    </w:p>
    <w:p w:rsidR="00000000" w:rsidRPr="00243B26" w:rsidP="00243B26">
      <w:pPr>
        <w:pStyle w:val="ListBullet2"/>
      </w:pPr>
      <w:r w:rsidRPr="00243B26">
        <w:t>working with high current electrical systems</w:t>
      </w:r>
    </w:p>
    <w:p w:rsidR="00000000" w:rsidRPr="00243B26" w:rsidP="00243B26">
      <w:pPr>
        <w:pStyle w:val="ListBullet2"/>
      </w:pPr>
      <w:r w:rsidRPr="00243B26">
        <w:t>manually handling batteries and toxic and corrosive substances</w:t>
      </w:r>
    </w:p>
    <w:p w:rsidR="00000000" w:rsidRPr="00243B26" w:rsidP="00243B26">
      <w:pPr>
        <w:pStyle w:val="ListBullet2"/>
      </w:pPr>
      <w:r w:rsidRPr="00243B26">
        <w:t>conducting risk assessments of battery, vehicle and equipment movement before carrying out work</w:t>
      </w:r>
    </w:p>
    <w:p w:rsidR="00000000" w:rsidRPr="00243B26" w:rsidP="00243B26">
      <w:pPr>
        <w:pStyle w:val="ListBullet2"/>
      </w:pPr>
      <w:r w:rsidRPr="00243B26">
        <w:t>working safely when using battery te</w:t>
      </w:r>
      <w:r w:rsidRPr="00243B26">
        <w:t>sting equipment</w:t>
      </w:r>
    </w:p>
    <w:p w:rsidR="00000000" w:rsidRPr="00243B26" w:rsidP="00243B26">
      <w:pPr>
        <w:pStyle w:val="ListBullet"/>
      </w:pPr>
      <w:r w:rsidRPr="00243B26">
        <w:t>environmental requirements, including procedures:</w:t>
      </w:r>
    </w:p>
    <w:p w:rsidR="00000000" w:rsidRPr="00243B26" w:rsidP="00243B26">
      <w:pPr>
        <w:pStyle w:val="ListBullet2"/>
      </w:pPr>
      <w:r w:rsidRPr="00243B26">
        <w:t>found in safety data sheets (SDS) relating to toxic and corrosive substances</w:t>
      </w:r>
    </w:p>
    <w:p w:rsidR="00000000" w:rsidRPr="00243B26" w:rsidP="00243B26">
      <w:pPr>
        <w:pStyle w:val="ListBullet2"/>
      </w:pPr>
      <w:r w:rsidRPr="00243B26">
        <w:t>for recycling and disposing of replaced batteries</w:t>
      </w:r>
    </w:p>
    <w:p w:rsidR="00000000" w:rsidRPr="00243B26" w:rsidP="00243B26">
      <w:pPr>
        <w:pStyle w:val="ListBullet"/>
      </w:pPr>
      <w:r w:rsidRPr="00243B26">
        <w:t>basic operating principles of batteries, including using che</w:t>
      </w:r>
      <w:r w:rsidRPr="00243B26">
        <w:t>mical energy to produce electrical energy</w:t>
      </w:r>
    </w:p>
    <w:p w:rsidR="00000000" w:rsidRPr="00243B26" w:rsidP="00243B26">
      <w:pPr>
        <w:pStyle w:val="ListBullet"/>
      </w:pPr>
      <w:r w:rsidRPr="00243B26">
        <w:t>types of automotive batteries, including:</w:t>
      </w:r>
    </w:p>
    <w:p w:rsidR="00000000" w:rsidRPr="00243B26" w:rsidP="00243B26">
      <w:pPr>
        <w:pStyle w:val="ListBullet2"/>
      </w:pPr>
      <w:r w:rsidRPr="00243B26">
        <w:t>lead acid batteries</w:t>
      </w:r>
    </w:p>
    <w:p w:rsidR="00000000" w:rsidRPr="00243B26" w:rsidP="00243B26">
      <w:pPr>
        <w:pStyle w:val="ListBullet2"/>
      </w:pPr>
      <w:r w:rsidRPr="00243B26">
        <w:t>deep cycle batteries</w:t>
      </w:r>
    </w:p>
    <w:p w:rsidR="00000000" w:rsidRPr="00243B26" w:rsidP="00243B26">
      <w:pPr>
        <w:pStyle w:val="ListBullet2"/>
      </w:pPr>
      <w:r w:rsidRPr="00243B26">
        <w:t>maintenance-free batteries</w:t>
      </w:r>
    </w:p>
    <w:p w:rsidR="00000000" w:rsidRPr="00243B26" w:rsidP="00243B26">
      <w:pPr>
        <w:pStyle w:val="ListBullet2"/>
      </w:pPr>
      <w:r w:rsidRPr="00243B26">
        <w:t>gel batteries</w:t>
      </w:r>
    </w:p>
    <w:p w:rsidR="00000000" w:rsidRPr="00243B26" w:rsidP="00243B26">
      <w:pPr>
        <w:pStyle w:val="ListBullet2"/>
      </w:pPr>
      <w:r w:rsidRPr="00243B26">
        <w:t>absorbed glass mat batteries</w:t>
      </w:r>
    </w:p>
    <w:p w:rsidR="00000000" w:rsidRPr="00243B26" w:rsidP="00243B26">
      <w:pPr>
        <w:pStyle w:val="ListBullet2"/>
      </w:pPr>
      <w:r w:rsidRPr="00243B26">
        <w:t>calcium batteries</w:t>
      </w:r>
    </w:p>
    <w:p w:rsidR="00000000" w:rsidRPr="00243B26" w:rsidP="00243B26">
      <w:pPr>
        <w:pStyle w:val="ListBullet2"/>
      </w:pPr>
      <w:r w:rsidRPr="00243B26">
        <w:t>lithium ion and lithium ion phosphate batteries</w:t>
      </w:r>
    </w:p>
    <w:p w:rsidR="00000000" w:rsidRPr="00243B26" w:rsidP="00243B26">
      <w:pPr>
        <w:pStyle w:val="ListBullet"/>
      </w:pPr>
      <w:r w:rsidRPr="00243B26">
        <w:t>battery classifications, including:</w:t>
      </w:r>
    </w:p>
    <w:p w:rsidR="00000000" w:rsidRPr="00243B26" w:rsidP="00243B26">
      <w:pPr>
        <w:pStyle w:val="ListBullet2"/>
      </w:pPr>
      <w:r w:rsidRPr="00243B26">
        <w:t>reserve capacity</w:t>
      </w:r>
    </w:p>
    <w:p w:rsidR="00000000" w:rsidRPr="00243B26" w:rsidP="00243B26">
      <w:pPr>
        <w:pStyle w:val="ListBullet2"/>
      </w:pPr>
      <w:r w:rsidRPr="00243B26">
        <w:t>amp hour rating</w:t>
      </w:r>
    </w:p>
    <w:p w:rsidR="00000000" w:rsidRPr="00243B26" w:rsidP="00243B26">
      <w:pPr>
        <w:pStyle w:val="ListBullet2"/>
      </w:pPr>
      <w:r w:rsidRPr="00243B26">
        <w:t>cold cranking amps</w:t>
      </w:r>
    </w:p>
    <w:p w:rsidR="00000000" w:rsidRPr="00243B26" w:rsidP="00243B26">
      <w:pPr>
        <w:pStyle w:val="ListBullet"/>
      </w:pPr>
      <w:r w:rsidRPr="00243B26">
        <w:t>battery connection methods for 6 volt, 12 volt, 24 volt and 48 volt, including:</w:t>
      </w:r>
    </w:p>
    <w:p w:rsidR="00000000" w:rsidRPr="00243B26" w:rsidP="00243B26">
      <w:pPr>
        <w:pStyle w:val="ListBullet2"/>
      </w:pPr>
      <w:r w:rsidRPr="00243B26">
        <w:t>series</w:t>
      </w:r>
    </w:p>
    <w:p w:rsidR="00000000" w:rsidRPr="00243B26" w:rsidP="00243B26">
      <w:pPr>
        <w:pStyle w:val="ListBullet2"/>
      </w:pPr>
      <w:r w:rsidRPr="00243B26">
        <w:t>parallel</w:t>
      </w:r>
    </w:p>
    <w:p w:rsidR="00000000" w:rsidRPr="00243B26" w:rsidP="00243B26">
      <w:pPr>
        <w:pStyle w:val="ListBullet2"/>
      </w:pPr>
      <w:r w:rsidRPr="00243B26">
        <w:t>series parallel</w:t>
      </w:r>
    </w:p>
    <w:p w:rsidR="00000000" w:rsidRPr="00243B26" w:rsidP="00243B26">
      <w:pPr>
        <w:pStyle w:val="ListBullet"/>
      </w:pPr>
      <w:r w:rsidRPr="00243B26">
        <w:t>inspection and testing procedures for batteries, including:</w:t>
      </w:r>
    </w:p>
    <w:p w:rsidR="00000000" w:rsidRPr="00243B26" w:rsidP="00243B26">
      <w:pPr>
        <w:pStyle w:val="ListBullet2"/>
      </w:pPr>
      <w:r w:rsidRPr="00243B26">
        <w:t>terminals and leads</w:t>
      </w:r>
    </w:p>
    <w:p w:rsidR="00000000" w:rsidRPr="00243B26" w:rsidP="00243B26">
      <w:pPr>
        <w:pStyle w:val="ListBullet2"/>
      </w:pPr>
      <w:r w:rsidRPr="00243B26">
        <w:t>battery securing system</w:t>
      </w:r>
    </w:p>
    <w:p w:rsidR="00000000" w:rsidRPr="00243B26" w:rsidP="00243B26">
      <w:pPr>
        <w:pStyle w:val="ListBullet2"/>
      </w:pPr>
      <w:r w:rsidRPr="00243B26">
        <w:t>testing battery with load testing devices</w:t>
      </w:r>
    </w:p>
    <w:p w:rsidR="00000000" w:rsidRPr="00243B26" w:rsidP="00243B26">
      <w:pPr>
        <w:pStyle w:val="ListBullet2"/>
      </w:pPr>
      <w:r w:rsidRPr="00243B26">
        <w:t>testing battery with a hydrometer</w:t>
      </w:r>
    </w:p>
    <w:p w:rsidR="00000000" w:rsidRPr="00243B26" w:rsidP="00243B26">
      <w:pPr>
        <w:pStyle w:val="ListBullet2"/>
      </w:pPr>
      <w:r w:rsidRPr="00243B26">
        <w:t>battery memory retention</w:t>
      </w:r>
    </w:p>
    <w:p w:rsidR="00000000" w:rsidRPr="00243B26" w:rsidP="00243B26">
      <w:pPr>
        <w:pStyle w:val="ListBullet"/>
      </w:pPr>
      <w:r w:rsidRPr="00243B26">
        <w:t>servicing procedures for batteries, including:</w:t>
      </w:r>
    </w:p>
    <w:p w:rsidR="00000000" w:rsidRPr="00243B26" w:rsidP="00243B26">
      <w:pPr>
        <w:pStyle w:val="ListBullet2"/>
      </w:pPr>
      <w:r w:rsidRPr="00243B26">
        <w:t>c</w:t>
      </w:r>
      <w:r w:rsidRPr="00243B26">
        <w:t>leaning battery and battery compartments</w:t>
      </w:r>
    </w:p>
    <w:p w:rsidR="00000000" w:rsidRPr="00243B26" w:rsidP="00243B26">
      <w:pPr>
        <w:pStyle w:val="ListBullet2"/>
      </w:pPr>
      <w:r w:rsidRPr="00243B26">
        <w:t>topping up battery fluid</w:t>
      </w:r>
    </w:p>
    <w:p w:rsidR="00000000" w:rsidRPr="00243B26" w:rsidP="00243B26">
      <w:pPr>
        <w:pStyle w:val="ListBullet"/>
      </w:pPr>
      <w:r w:rsidRPr="00243B26">
        <w:t>post-service testing procedures, including confirming that battery is serviceable and operating to manufacturer specifications.</w:t>
      </w:r>
    </w:p>
    <w:p w:rsidR="00000000" w:rsidRPr="00243B26" w:rsidP="00243B26">
      <w:pPr>
        <w:pStyle w:val="AllowPageBreak"/>
      </w:pPr>
    </w:p>
    <w:p w:rsidR="00000000" w:rsidRPr="00243B26" w:rsidP="00243B26">
      <w:pPr>
        <w:pStyle w:val="Heading1"/>
      </w:pPr>
      <w:bookmarkStart w:id="4" w:name="O_794608"/>
      <w:bookmarkEnd w:id="4"/>
      <w:r w:rsidRPr="00243B26">
        <w:t>Assessment Conditions</w:t>
      </w:r>
    </w:p>
    <w:p w:rsidR="00000000" w:rsidRPr="00243B26" w:rsidP="009D07C6">
      <w:pPr>
        <w:pStyle w:val="BodyText"/>
      </w:pPr>
      <w:r w:rsidRPr="00243B26">
        <w:t>Assessors must satisfy</w:t>
      </w:r>
      <w:r w:rsidRPr="00243B26">
        <w:t xml:space="preserve"> NVR/AQTF assessor requirements.</w:t>
      </w:r>
    </w:p>
    <w:p w:rsidR="00000000" w:rsidRPr="00243B26" w:rsidP="009D07C6">
      <w:pPr>
        <w:pStyle w:val="BodyText"/>
      </w:pPr>
      <w:r w:rsidRPr="00243B26">
        <w:t>Competency is to be assessed in the workplace or a simulated environment that accurately reflects performance in a real workplace setting.</w:t>
      </w:r>
    </w:p>
    <w:p w:rsidR="00000000" w:rsidRPr="00243B26" w:rsidP="009D07C6">
      <w:pPr>
        <w:pStyle w:val="BodyText"/>
      </w:pPr>
      <w:r w:rsidRPr="00243B26">
        <w:t>Assessment must include direct observation of tasks.</w:t>
      </w:r>
    </w:p>
    <w:p w:rsidR="00000000" w:rsidRPr="00243B26" w:rsidP="009D07C6">
      <w:pPr>
        <w:pStyle w:val="BodyText"/>
      </w:pPr>
      <w:r w:rsidRPr="00243B26">
        <w:t>Where assessment of competency includes third-party evidence, individuals must provide evidence that links them to the batteries that they have inspected, tested and serviced, e.g. repair orders.</w:t>
      </w:r>
    </w:p>
    <w:p w:rsidR="00000000" w:rsidRPr="00243B26" w:rsidP="009D07C6">
      <w:pPr>
        <w:pStyle w:val="BodyText"/>
      </w:pPr>
      <w:r w:rsidRPr="00243B26">
        <w:t>Assessors must verify performance evidence through question</w:t>
      </w:r>
      <w:r w:rsidRPr="00243B26">
        <w:t>ing on skills and knowledge to ensure correct interpretation and application.</w:t>
      </w:r>
    </w:p>
    <w:p w:rsidR="00000000" w:rsidRPr="00243B26" w:rsidP="009D07C6">
      <w:pPr>
        <w:pStyle w:val="BodyText"/>
      </w:pPr>
      <w:r w:rsidRPr="00243B26">
        <w:t>The following resources must be made available:</w:t>
      </w:r>
    </w:p>
    <w:p w:rsidR="00000000" w:rsidRPr="00243B26" w:rsidP="00243B26">
      <w:pPr>
        <w:pStyle w:val="ListBullet"/>
      </w:pPr>
      <w:r w:rsidRPr="00243B26">
        <w:t>automotive repair workplace or simulated workplace</w:t>
      </w:r>
    </w:p>
    <w:p w:rsidR="00000000" w:rsidRPr="00243B26" w:rsidP="00243B26">
      <w:pPr>
        <w:pStyle w:val="ListBullet"/>
      </w:pPr>
      <w:r w:rsidRPr="00243B26">
        <w:t>workplace instructions</w:t>
      </w:r>
    </w:p>
    <w:p w:rsidR="00000000" w:rsidRPr="00243B26" w:rsidP="00243B26">
      <w:pPr>
        <w:pStyle w:val="ListBullet"/>
      </w:pPr>
      <w:r w:rsidRPr="00243B26">
        <w:t>manufacturer battery specifications</w:t>
      </w:r>
    </w:p>
    <w:p w:rsidR="00000000" w:rsidRPr="00243B26" w:rsidP="00243B26">
      <w:pPr>
        <w:pStyle w:val="ListBullet"/>
      </w:pPr>
      <w:r w:rsidRPr="00243B26">
        <w:t>PPE, including clo</w:t>
      </w:r>
      <w:r w:rsidRPr="00243B26">
        <w:t>thing, and eye and hand protection</w:t>
      </w:r>
    </w:p>
    <w:p w:rsidR="00000000" w:rsidRPr="00243B26" w:rsidP="00243B26">
      <w:pPr>
        <w:pStyle w:val="ListBullet"/>
      </w:pPr>
      <w:r w:rsidRPr="00243B26">
        <w:t>three different vehicles, vessels or machinery with batteries as specified in the performance evidence requiring servicing</w:t>
      </w:r>
    </w:p>
    <w:p w:rsidR="00000000" w:rsidRPr="00243B26" w:rsidP="00243B26">
      <w:pPr>
        <w:pStyle w:val="ListBullet"/>
      </w:pPr>
      <w:r w:rsidRPr="00243B26">
        <w:t>tools, equipment and materials appropriate for inspecting, testing and servicing batteries, includ</w:t>
      </w:r>
      <w:r w:rsidRPr="00243B26">
        <w:t>ing battery load testing devices, multimeters and cleaning materials.</w:t>
      </w:r>
    </w:p>
    <w:p w:rsidR="00000000" w:rsidRPr="00243B26" w:rsidP="00243B26">
      <w:pPr>
        <w:pStyle w:val="AllowPageBreak"/>
      </w:pPr>
    </w:p>
    <w:p w:rsidR="00000000" w:rsidRPr="00243B26" w:rsidP="00243B26">
      <w:pPr>
        <w:pStyle w:val="Heading1"/>
      </w:pPr>
      <w:bookmarkStart w:id="5" w:name="O_794611"/>
      <w:bookmarkEnd w:id="5"/>
      <w:r w:rsidRPr="00243B26">
        <w:t>Links</w:t>
      </w:r>
    </w:p>
    <w:p w:rsidR="00000000" w:rsidRPr="00243B26" w:rsidP="009D07C6">
      <w:pPr>
        <w:pStyle w:val="BodyText"/>
      </w:pPr>
      <w:r w:rsidRPr="00243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D3E4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43B26" w:rsidP="009D07C6">
      <w:pPr>
        <w:pStyle w:val="BodyText"/>
      </w:pPr>
      <w:r w:rsidRPr="00243B26">
        <w:t xml:space="preserve">Companion Volume </w:t>
      </w:r>
      <w:r w:rsidRPr="00243B26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D3E4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43B26" w:rsidP="00243B26"/>
    <w:sectPr w:rsidSect="00243B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26" w:rsidRPr="009D07C6" w:rsidP="009D07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C6" w:rsidP="00243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7C6" w:rsidP="00243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07C6" w:rsidP="00243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B26" w:rsidRPr="009D07C6" w:rsidP="009D07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7C6" w:rsidRPr="002D2AF8" w:rsidP="00243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AURETR015 Inspect, test and service batteries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9D07C6" w:rsidP="00243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E6E7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460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445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B26"/>
  </w:style>
  <w:style w:type="character" w:customStyle="1" w:styleId="Heading1Char">
    <w:name w:val="Heading 1 Char"/>
    <w:basedOn w:val="DefaultParagraphFont"/>
    <w:link w:val="Heading1"/>
    <w:rsid w:val="00243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B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3B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3B26"/>
    <w:rPr>
      <w:b/>
      <w:spacing w:val="0"/>
    </w:rPr>
  </w:style>
  <w:style w:type="paragraph" w:styleId="ListBullet2">
    <w:name w:val="List Bullet 2"/>
    <w:basedOn w:val="List2"/>
    <w:rsid w:val="00243B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3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B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B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3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3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3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B26"/>
    <w:rPr>
      <w:i/>
    </w:rPr>
  </w:style>
  <w:style w:type="paragraph" w:styleId="Caption">
    <w:name w:val="caption"/>
    <w:basedOn w:val="BodyText"/>
    <w:next w:val="Normal"/>
    <w:qFormat/>
    <w:rsid w:val="00243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B26"/>
  </w:style>
  <w:style w:type="paragraph" w:styleId="TableofFigures">
    <w:name w:val="table of figures"/>
    <w:basedOn w:val="Normal"/>
    <w:next w:val="Normal"/>
    <w:semiHidden/>
    <w:rsid w:val="00243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B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3B26"/>
    <w:rPr>
      <w:rFonts w:ascii="Wingdings" w:hAnsi="Wingdings"/>
    </w:rPr>
  </w:style>
  <w:style w:type="paragraph" w:customStyle="1" w:styleId="TableHeading">
    <w:name w:val="Table Heading"/>
    <w:basedOn w:val="HeadingBase"/>
    <w:rsid w:val="00243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B26"/>
    <w:rPr>
      <w:color w:val="0033CC"/>
      <w:u w:val="none"/>
    </w:rPr>
  </w:style>
  <w:style w:type="paragraph" w:customStyle="1" w:styleId="BodyTextRight">
    <w:name w:val="Body Text Right"/>
    <w:basedOn w:val="BodyText"/>
    <w:rsid w:val="00243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B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B26"/>
    <w:rPr>
      <w:sz w:val="32"/>
    </w:rPr>
  </w:style>
  <w:style w:type="paragraph" w:customStyle="1" w:styleId="HeadingProcedure">
    <w:name w:val="Heading Procedure"/>
    <w:basedOn w:val="HeadingBase"/>
    <w:next w:val="Normal"/>
    <w:rsid w:val="00243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B26"/>
    <w:pPr>
      <w:spacing w:before="60" w:after="60"/>
    </w:pPr>
  </w:style>
  <w:style w:type="paragraph" w:styleId="ListContinue">
    <w:name w:val="List Continue"/>
    <w:basedOn w:val="List"/>
    <w:rsid w:val="00243B26"/>
    <w:pPr>
      <w:ind w:firstLine="0"/>
    </w:pPr>
  </w:style>
  <w:style w:type="paragraph" w:customStyle="1" w:styleId="ListNote">
    <w:name w:val="List Note"/>
    <w:basedOn w:val="List"/>
    <w:rsid w:val="00243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B26"/>
    <w:rPr>
      <w:rFonts w:ascii="Courier New" w:hAnsi="Courier New"/>
    </w:rPr>
  </w:style>
  <w:style w:type="paragraph" w:customStyle="1" w:styleId="NoteBullet">
    <w:name w:val="Note Bullet"/>
    <w:basedOn w:val="Note"/>
    <w:rsid w:val="00243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B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3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B26"/>
    <w:rPr>
      <w:b/>
      <w:smallCaps/>
    </w:rPr>
  </w:style>
  <w:style w:type="paragraph" w:customStyle="1" w:styleId="TableListNumber">
    <w:name w:val="Table List Number"/>
    <w:basedOn w:val="ListNumber"/>
    <w:rsid w:val="00243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B26"/>
    <w:pPr>
      <w:numPr>
        <w:numId w:val="9"/>
      </w:numPr>
    </w:pPr>
  </w:style>
  <w:style w:type="paragraph" w:customStyle="1" w:styleId="ListAlpha2">
    <w:name w:val="List Alpha 2"/>
    <w:basedOn w:val="List2"/>
    <w:rsid w:val="00243B26"/>
    <w:pPr>
      <w:numPr>
        <w:numId w:val="8"/>
      </w:numPr>
    </w:pPr>
  </w:style>
  <w:style w:type="paragraph" w:styleId="List2">
    <w:name w:val="List 2"/>
    <w:basedOn w:val="BodyText"/>
    <w:rsid w:val="00243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B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B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3B26"/>
    <w:pPr>
      <w:numPr>
        <w:numId w:val="4"/>
      </w:numPr>
    </w:pPr>
  </w:style>
  <w:style w:type="paragraph" w:styleId="ListContinue2">
    <w:name w:val="List Continue 2"/>
    <w:basedOn w:val="List2"/>
    <w:rsid w:val="00243B26"/>
    <w:pPr>
      <w:ind w:firstLine="0"/>
    </w:pPr>
  </w:style>
  <w:style w:type="paragraph" w:styleId="ListContinue3">
    <w:name w:val="List Continue 3"/>
    <w:basedOn w:val="List3"/>
    <w:rsid w:val="00243B26"/>
    <w:pPr>
      <w:ind w:left="1021" w:firstLine="0"/>
    </w:pPr>
  </w:style>
  <w:style w:type="paragraph" w:styleId="ListContinue4">
    <w:name w:val="List Continue 4"/>
    <w:basedOn w:val="List4"/>
    <w:rsid w:val="00243B26"/>
    <w:pPr>
      <w:ind w:firstLine="0"/>
    </w:pPr>
  </w:style>
  <w:style w:type="paragraph" w:styleId="ListContinue5">
    <w:name w:val="List Continue 5"/>
    <w:basedOn w:val="List5"/>
    <w:rsid w:val="00243B26"/>
    <w:pPr>
      <w:ind w:firstLine="0"/>
    </w:pPr>
  </w:style>
  <w:style w:type="paragraph" w:styleId="ListNumber3">
    <w:name w:val="List Number 3"/>
    <w:basedOn w:val="List3"/>
    <w:rsid w:val="00243B26"/>
    <w:pPr>
      <w:numPr>
        <w:numId w:val="5"/>
      </w:numPr>
    </w:pPr>
  </w:style>
  <w:style w:type="paragraph" w:styleId="ListNumber4">
    <w:name w:val="List Number 4"/>
    <w:basedOn w:val="List4"/>
    <w:rsid w:val="00243B26"/>
    <w:pPr>
      <w:numPr>
        <w:numId w:val="6"/>
      </w:numPr>
    </w:pPr>
  </w:style>
  <w:style w:type="paragraph" w:styleId="ListNumber5">
    <w:name w:val="List Number 5"/>
    <w:basedOn w:val="List5"/>
    <w:rsid w:val="00243B26"/>
    <w:pPr>
      <w:numPr>
        <w:numId w:val="7"/>
      </w:numPr>
    </w:pPr>
  </w:style>
  <w:style w:type="paragraph" w:styleId="BlockText">
    <w:name w:val="Block Text"/>
    <w:basedOn w:val="Normal"/>
    <w:rsid w:val="00243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B26"/>
    <w:rPr>
      <w:sz w:val="16"/>
      <w:vertAlign w:val="superscript"/>
    </w:rPr>
  </w:style>
  <w:style w:type="character" w:customStyle="1" w:styleId="Symbols">
    <w:name w:val="Symbols"/>
    <w:basedOn w:val="DefaultParagraphFont"/>
    <w:rsid w:val="00243B26"/>
    <w:rPr>
      <w:rFonts w:ascii="Symbol" w:hAnsi="Symbol"/>
    </w:rPr>
  </w:style>
  <w:style w:type="character" w:customStyle="1" w:styleId="MenuOptions">
    <w:name w:val="Menu Options"/>
    <w:basedOn w:val="DefaultParagraphFont"/>
    <w:rsid w:val="00243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B26"/>
    <w:rPr>
      <w:b/>
    </w:rPr>
  </w:style>
  <w:style w:type="character" w:customStyle="1" w:styleId="Underlined">
    <w:name w:val="Underlined"/>
    <w:basedOn w:val="DefaultParagraphFont"/>
    <w:rsid w:val="00243B26"/>
    <w:rPr>
      <w:u w:val="single"/>
    </w:rPr>
  </w:style>
  <w:style w:type="paragraph" w:customStyle="1" w:styleId="TableBodyTextRight">
    <w:name w:val="Table Body Text Right"/>
    <w:basedOn w:val="TableBodyText"/>
    <w:rsid w:val="00243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B26"/>
    <w:rPr>
      <w:sz w:val="18"/>
    </w:rPr>
  </w:style>
  <w:style w:type="paragraph" w:customStyle="1" w:styleId="BodySmallRight">
    <w:name w:val="Body Small Right"/>
    <w:basedOn w:val="BodyTextRight"/>
    <w:rsid w:val="00243B26"/>
    <w:rPr>
      <w:sz w:val="18"/>
      <w:szCs w:val="18"/>
    </w:rPr>
  </w:style>
  <w:style w:type="paragraph" w:customStyle="1" w:styleId="MarginEdition">
    <w:name w:val="Margin Edition"/>
    <w:basedOn w:val="MarginNote"/>
    <w:rsid w:val="00243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B26"/>
    <w:rPr>
      <w:sz w:val="2"/>
      <w:szCs w:val="2"/>
    </w:rPr>
  </w:style>
  <w:style w:type="character" w:customStyle="1" w:styleId="Small">
    <w:name w:val="Small"/>
    <w:basedOn w:val="DefaultParagraphFont"/>
    <w:rsid w:val="00243B26"/>
    <w:rPr>
      <w:sz w:val="16"/>
    </w:rPr>
  </w:style>
  <w:style w:type="paragraph" w:customStyle="1" w:styleId="WideTable">
    <w:name w:val="Wide Table"/>
    <w:basedOn w:val="Normal"/>
    <w:rsid w:val="00243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B26"/>
  </w:style>
  <w:style w:type="paragraph" w:styleId="Quote">
    <w:name w:val="Quote"/>
    <w:basedOn w:val="Heading1"/>
    <w:link w:val="QuoteChar"/>
    <w:qFormat/>
    <w:rsid w:val="00243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B26"/>
    <w:pPr>
      <w:pageBreakBefore/>
    </w:pPr>
  </w:style>
  <w:style w:type="paragraph" w:customStyle="1" w:styleId="Border">
    <w:name w:val="Border"/>
    <w:basedOn w:val="Normal"/>
    <w:qFormat/>
    <w:rsid w:val="00243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B26"/>
    <w:rPr>
      <w:u w:val="single"/>
    </w:rPr>
  </w:style>
  <w:style w:type="character" w:customStyle="1" w:styleId="BoldandItalics">
    <w:name w:val="Bold and Italics"/>
    <w:qFormat/>
    <w:rsid w:val="00243B26"/>
    <w:rPr>
      <w:b/>
      <w:i/>
      <w:u w:val="none"/>
    </w:rPr>
  </w:style>
  <w:style w:type="paragraph" w:styleId="BalloonText">
    <w:name w:val="Balloon Text"/>
    <w:basedOn w:val="Normal"/>
    <w:link w:val="BalloonTextChar"/>
    <w:rsid w:val="00243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B26"/>
    <w:pPr>
      <w:spacing w:before="0" w:after="0"/>
    </w:pPr>
  </w:style>
  <w:style w:type="paragraph" w:customStyle="1" w:styleId="BodyTextBold">
    <w:name w:val="Body Text Bold"/>
    <w:basedOn w:val="BodyText"/>
    <w:qFormat/>
    <w:rsid w:val="00243B26"/>
    <w:rPr>
      <w:b/>
    </w:rPr>
  </w:style>
  <w:style w:type="character" w:styleId="Hyperlink">
    <w:name w:val="Hyperlink"/>
    <w:basedOn w:val="DefaultParagraphFont"/>
    <w:uiPriority w:val="99"/>
    <w:unhideWhenUsed/>
    <w:rsid w:val="009D07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3545</Characters>
  <Application>Microsoft Office Word</Application>
  <DocSecurity>0</DocSecurity>
  <Lines>101</Lines>
  <Paragraphs>77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AURETR015 Inspect, test and service batteries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2022-04-19T09:11:00Z</dcterms:created>
  <dcterms:modified xsi:type="dcterms:W3CDTF">2022-04-19T09:11:00Z</dcterms:modified>
</cp:coreProperties>
</file>