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C76" w:rsidP="00515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AURETR010 Repair wiring harnesses and looms</w:t>
      </w:r>
      <w:r>
        <w:fldChar w:fldCharType="end"/>
      </w:r>
    </w:p>
    <w:p w:rsidR="00515C76" w:rsidP="00515C76">
      <w:pPr>
        <w:pStyle w:val="Version"/>
        <w:sectPr w:rsidSect="002A2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681" w:rsidP="002A2681">
      <w:pPr>
        <w:pStyle w:val="SuperHeading"/>
      </w:pPr>
      <w:r w:rsidRPr="002A2681">
        <w:t>Assessment Requirements for AURETR010 Repair wiring harnesses and looms</w:t>
      </w:r>
    </w:p>
    <w:p w:rsidR="00000000" w:rsidRPr="002A2681" w:rsidP="002A2681">
      <w:pPr>
        <w:pStyle w:val="Heading1"/>
      </w:pPr>
      <w:bookmarkStart w:id="1" w:name="O_794529"/>
      <w:bookmarkEnd w:id="1"/>
      <w:r w:rsidRPr="002A268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15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81" w:rsidP="002A2681">
            <w:pPr>
              <w:pStyle w:val="BodyText"/>
            </w:pPr>
            <w:r w:rsidRPr="002A268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81">
            <w:pPr>
              <w:pStyle w:val="BodyText"/>
              <w:rPr>
                <w:lang w:val="en-NZ"/>
              </w:rPr>
            </w:pPr>
            <w:r w:rsidRPr="002A2681">
              <w:rPr>
                <w:rStyle w:val="SpecialBold"/>
              </w:rPr>
              <w:t>Comment</w:t>
            </w:r>
          </w:p>
        </w:tc>
      </w:tr>
      <w:tr w:rsidTr="00515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81">
            <w:pPr>
              <w:pStyle w:val="BodyText"/>
              <w:rPr>
                <w:lang w:val="en-NZ"/>
              </w:rPr>
            </w:pPr>
            <w:r w:rsidRPr="002A268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81" w:rsidP="002A2681">
            <w:pPr>
              <w:pStyle w:val="BodyText"/>
            </w:pPr>
            <w:r w:rsidRPr="002A2681">
              <w:t>New unit of competency.</w:t>
            </w:r>
          </w:p>
        </w:tc>
      </w:tr>
    </w:tbl>
    <w:p w:rsidR="00000000" w:rsidRPr="002A2681" w:rsidP="002A2681">
      <w:pPr>
        <w:pStyle w:val="BodyText"/>
      </w:pPr>
    </w:p>
    <w:p w:rsidR="00000000" w:rsidRPr="002A2681" w:rsidP="002A2681">
      <w:pPr>
        <w:pStyle w:val="AllowPageBreak"/>
      </w:pPr>
    </w:p>
    <w:p w:rsidR="00000000" w:rsidRPr="002A2681" w:rsidP="002A2681">
      <w:pPr>
        <w:pStyle w:val="Heading1"/>
      </w:pPr>
      <w:bookmarkStart w:id="2" w:name="O_794530"/>
      <w:bookmarkEnd w:id="2"/>
      <w:r w:rsidRPr="002A2681">
        <w:t>Performance Evidence</w:t>
      </w:r>
    </w:p>
    <w:p w:rsidR="00000000" w:rsidRPr="002A2681" w:rsidP="00515C76">
      <w:pPr>
        <w:pStyle w:val="BodyText"/>
      </w:pPr>
      <w:r w:rsidRPr="002A2681">
        <w:t>Before competency can be determin</w:t>
      </w:r>
      <w:r w:rsidRPr="002A2681">
        <w:t>ed, individuals must demonstrate they can perform the following according to the standard defined in the unit’s elements, performance criteria, range of conditions and foundation skills:</w:t>
      </w:r>
    </w:p>
    <w:p w:rsidR="00000000" w:rsidRPr="002A2681" w:rsidP="002A2681">
      <w:pPr>
        <w:pStyle w:val="ListBullet"/>
      </w:pPr>
      <w:r w:rsidRPr="002A2681">
        <w:t>repair an existing basic wiring harness or loom assembly of the wiri</w:t>
      </w:r>
      <w:r w:rsidRPr="002A2681">
        <w:t>ng systems of two different vehicles, vessels or machinery</w:t>
      </w:r>
    </w:p>
    <w:p w:rsidR="00000000" w:rsidRPr="002A2681" w:rsidP="002A2681">
      <w:pPr>
        <w:pStyle w:val="ListBullet"/>
      </w:pPr>
      <w:r w:rsidRPr="002A2681">
        <w:t>fabricate a new basic wiring harness or loom assembly for the wiring system of one vehicle, vessel or machinery.</w:t>
      </w:r>
    </w:p>
    <w:p w:rsidR="00000000" w:rsidRPr="002A2681" w:rsidP="002A2681">
      <w:pPr>
        <w:pStyle w:val="AllowPageBreak"/>
      </w:pPr>
    </w:p>
    <w:p w:rsidR="00000000" w:rsidRPr="002A2681" w:rsidP="002A2681">
      <w:pPr>
        <w:pStyle w:val="Heading1"/>
      </w:pPr>
      <w:bookmarkStart w:id="3" w:name="O_794531"/>
      <w:bookmarkEnd w:id="3"/>
      <w:r w:rsidRPr="002A2681">
        <w:t>Knowledge Evidence</w:t>
      </w:r>
    </w:p>
    <w:p w:rsidR="00000000" w:rsidRPr="002A2681" w:rsidP="00515C76">
      <w:pPr>
        <w:pStyle w:val="BodyText"/>
      </w:pPr>
      <w:r w:rsidRPr="002A2681">
        <w:t>Individuals must be able to demonstrate knowledge of:</w:t>
      </w:r>
    </w:p>
    <w:p w:rsidR="00000000" w:rsidRPr="002A2681" w:rsidP="002A2681">
      <w:pPr>
        <w:pStyle w:val="ListBullet"/>
      </w:pPr>
      <w:r w:rsidRPr="002A2681">
        <w:t>work health and safety (WHS) and occupational health and safety (OHS) requirements relating to repairing wiring harnesses and looms, including procedures for:</w:t>
      </w:r>
    </w:p>
    <w:p w:rsidR="00000000" w:rsidRPr="002A2681" w:rsidP="002A2681">
      <w:pPr>
        <w:pStyle w:val="ListBullet2"/>
      </w:pPr>
      <w:r w:rsidRPr="002A2681">
        <w:t>using safety data sheets (SDS)</w:t>
      </w:r>
    </w:p>
    <w:p w:rsidR="00000000" w:rsidRPr="002A2681" w:rsidP="002A2681">
      <w:pPr>
        <w:pStyle w:val="ListBullet2"/>
      </w:pPr>
      <w:r w:rsidRPr="002A2681">
        <w:t xml:space="preserve">selecting </w:t>
      </w:r>
      <w:r w:rsidRPr="002A2681">
        <w:t>and using personal protective equipment (PPE)</w:t>
      </w:r>
    </w:p>
    <w:p w:rsidR="00000000" w:rsidRPr="002A2681" w:rsidP="002A2681">
      <w:pPr>
        <w:pStyle w:val="ListBullet2"/>
      </w:pPr>
      <w:r w:rsidRPr="002A2681">
        <w:t>identifying firefighting equipment</w:t>
      </w:r>
    </w:p>
    <w:p w:rsidR="00000000" w:rsidRPr="002A2681" w:rsidP="002A2681">
      <w:pPr>
        <w:pStyle w:val="ListBullet2"/>
      </w:pPr>
      <w:r w:rsidRPr="002A2681">
        <w:t>safely handling hazardous materials and toxic substances</w:t>
      </w:r>
    </w:p>
    <w:p w:rsidR="00000000" w:rsidRPr="002A2681" w:rsidP="002A2681">
      <w:pPr>
        <w:pStyle w:val="ListBullet2"/>
      </w:pPr>
      <w:r w:rsidRPr="002A2681">
        <w:t>following soldering equipment safe operating procedures</w:t>
      </w:r>
    </w:p>
    <w:p w:rsidR="00000000" w:rsidRPr="002A2681" w:rsidP="002A2681">
      <w:pPr>
        <w:pStyle w:val="ListBullet"/>
      </w:pPr>
      <w:r w:rsidRPr="002A2681">
        <w:t>environmental requirements, including procedures for trapping</w:t>
      </w:r>
      <w:r w:rsidRPr="002A2681">
        <w:t>, storing and disposing of hazardous materials and toxic substances released during repair processes</w:t>
      </w:r>
    </w:p>
    <w:p w:rsidR="00000000" w:rsidRPr="002A2681" w:rsidP="002A2681">
      <w:pPr>
        <w:pStyle w:val="ListBullet"/>
      </w:pPr>
      <w:r w:rsidRPr="002A2681">
        <w:t>location and content of workplace procedures and manufacturer specifications relating to wiring harnesses and looms</w:t>
      </w:r>
    </w:p>
    <w:p w:rsidR="00000000" w:rsidRPr="002A2681" w:rsidP="002A2681">
      <w:pPr>
        <w:pStyle w:val="ListBullet"/>
      </w:pPr>
      <w:r w:rsidRPr="002A2681">
        <w:t>types of wiring systems found in vehicl</w:t>
      </w:r>
      <w:r w:rsidRPr="002A2681">
        <w:t>es, including:</w:t>
      </w:r>
    </w:p>
    <w:p w:rsidR="00000000" w:rsidRPr="002A2681" w:rsidP="002A2681">
      <w:pPr>
        <w:pStyle w:val="ListBullet2"/>
      </w:pPr>
      <w:r w:rsidRPr="002A2681">
        <w:t>basic single wiring, including:</w:t>
      </w:r>
    </w:p>
    <w:p w:rsidR="00000000" w:rsidRPr="002A2681" w:rsidP="002A2681">
      <w:pPr>
        <w:pStyle w:val="ListBullet3"/>
      </w:pPr>
      <w:r w:rsidRPr="002A2681">
        <w:t>tailer harness</w:t>
      </w:r>
    </w:p>
    <w:p w:rsidR="00000000" w:rsidRPr="002A2681" w:rsidP="002A2681">
      <w:pPr>
        <w:pStyle w:val="ListBullet3"/>
      </w:pPr>
      <w:r w:rsidRPr="002A2681">
        <w:t>driving lights harness</w:t>
      </w:r>
    </w:p>
    <w:p w:rsidR="00000000" w:rsidRPr="002A2681" w:rsidP="002A2681">
      <w:pPr>
        <w:pStyle w:val="ListBullet3"/>
      </w:pPr>
      <w:r w:rsidRPr="002A2681">
        <w:t>accessory wiring harness</w:t>
      </w:r>
    </w:p>
    <w:p w:rsidR="00000000" w:rsidRPr="002A2681" w:rsidP="002A2681">
      <w:pPr>
        <w:pStyle w:val="ListBullet2"/>
      </w:pPr>
      <w:r w:rsidRPr="002A2681">
        <w:t>complex multi-wiring with varying wire gauges</w:t>
      </w:r>
    </w:p>
    <w:p w:rsidR="00000000" w:rsidRPr="002A2681" w:rsidP="002A2681">
      <w:pPr>
        <w:pStyle w:val="ListBullet2"/>
      </w:pPr>
      <w:r w:rsidRPr="002A2681">
        <w:t>controller area network databus (CAN-bus) wiring, including:</w:t>
      </w:r>
    </w:p>
    <w:p w:rsidR="00000000" w:rsidRPr="002A2681" w:rsidP="002A2681">
      <w:pPr>
        <w:pStyle w:val="ListBullet3"/>
      </w:pPr>
      <w:r w:rsidRPr="002A2681">
        <w:t>twisted pair</w:t>
      </w:r>
    </w:p>
    <w:p w:rsidR="00000000" w:rsidRPr="002A2681" w:rsidP="002A2681">
      <w:pPr>
        <w:pStyle w:val="ListBullet3"/>
      </w:pPr>
      <w:r w:rsidRPr="002A2681">
        <w:t>shielded wiring</w:t>
      </w:r>
    </w:p>
    <w:p w:rsidR="00000000" w:rsidRPr="002A2681" w:rsidP="002A2681">
      <w:pPr>
        <w:pStyle w:val="ListBullet"/>
      </w:pPr>
      <w:r w:rsidRPr="002A2681">
        <w:t>testing procedures, including:</w:t>
      </w:r>
    </w:p>
    <w:p w:rsidR="00000000" w:rsidRPr="002A2681" w:rsidP="002A2681">
      <w:pPr>
        <w:pStyle w:val="ListBullet2"/>
      </w:pPr>
      <w:r w:rsidRPr="002A2681">
        <w:t>accessing electrical terminals and using test probes without damaging connectors, fuse holders or wiring</w:t>
      </w:r>
    </w:p>
    <w:p w:rsidR="00000000" w:rsidRPr="002A2681" w:rsidP="002A2681">
      <w:pPr>
        <w:pStyle w:val="ListBullet2"/>
      </w:pPr>
      <w:r w:rsidRPr="002A2681">
        <w:t>testing wiring harnesses and looms, including resistance and voltage drop and circuit performance checks</w:t>
      </w:r>
    </w:p>
    <w:p w:rsidR="00000000" w:rsidRPr="002A2681" w:rsidP="002A2681">
      <w:pPr>
        <w:pStyle w:val="ListBullet2"/>
      </w:pPr>
      <w:r w:rsidRPr="002A2681">
        <w:t>visual and functional assessments, including:</w:t>
      </w:r>
    </w:p>
    <w:p w:rsidR="00000000" w:rsidRPr="002A2681" w:rsidP="002A2681">
      <w:pPr>
        <w:pStyle w:val="ListBullet3"/>
      </w:pPr>
      <w:r w:rsidRPr="002A2681">
        <w:t>component damage and wear</w:t>
      </w:r>
    </w:p>
    <w:p w:rsidR="00000000" w:rsidRPr="002A2681" w:rsidP="002A2681">
      <w:pPr>
        <w:pStyle w:val="ListBullet3"/>
      </w:pPr>
      <w:r w:rsidRPr="002A2681">
        <w:t>component corrosion</w:t>
      </w:r>
    </w:p>
    <w:p w:rsidR="00000000" w:rsidRPr="002A2681" w:rsidP="002A2681">
      <w:pPr>
        <w:pStyle w:val="ListBullet3"/>
      </w:pPr>
      <w:r w:rsidRPr="002A2681">
        <w:t>water and moisture ingress</w:t>
      </w:r>
    </w:p>
    <w:p w:rsidR="00000000" w:rsidRPr="002A2681" w:rsidP="002A2681">
      <w:pPr>
        <w:pStyle w:val="ListBullet3"/>
      </w:pPr>
      <w:r w:rsidRPr="002A2681">
        <w:t>damaged insulation</w:t>
      </w:r>
    </w:p>
    <w:p w:rsidR="00000000" w:rsidRPr="002A2681" w:rsidP="002A2681">
      <w:pPr>
        <w:pStyle w:val="ListBullet3"/>
      </w:pPr>
      <w:r w:rsidRPr="002A2681">
        <w:t>frayed wires</w:t>
      </w:r>
    </w:p>
    <w:p w:rsidR="00000000" w:rsidRPr="002A2681" w:rsidP="002A2681">
      <w:pPr>
        <w:pStyle w:val="ListBullet3"/>
      </w:pPr>
      <w:r w:rsidRPr="002A2681">
        <w:t>burnt wiring</w:t>
      </w:r>
    </w:p>
    <w:p w:rsidR="00000000" w:rsidRPr="002A2681" w:rsidP="002A2681">
      <w:pPr>
        <w:pStyle w:val="ListBullet3"/>
      </w:pPr>
      <w:r w:rsidRPr="002A2681">
        <w:t>terminal and connector damage</w:t>
      </w:r>
    </w:p>
    <w:p w:rsidR="00000000" w:rsidRPr="002A2681" w:rsidP="002A2681">
      <w:pPr>
        <w:pStyle w:val="ListBullet"/>
      </w:pPr>
      <w:r w:rsidRPr="002A2681">
        <w:t>removal procedures for wiring harnesses and looms, including:</w:t>
      </w:r>
    </w:p>
    <w:p w:rsidR="00000000" w:rsidRPr="002A2681" w:rsidP="002A2681">
      <w:pPr>
        <w:pStyle w:val="ListBullet2"/>
      </w:pPr>
      <w:r w:rsidRPr="002A2681">
        <w:t>accessing wiring and removing panels and covers</w:t>
      </w:r>
    </w:p>
    <w:p w:rsidR="00000000" w:rsidRPr="002A2681" w:rsidP="002A2681">
      <w:pPr>
        <w:pStyle w:val="ListBullet2"/>
      </w:pPr>
      <w:r w:rsidRPr="002A2681">
        <w:t>removing and replacing components</w:t>
      </w:r>
    </w:p>
    <w:p w:rsidR="00000000" w:rsidRPr="002A2681" w:rsidP="002A2681">
      <w:pPr>
        <w:pStyle w:val="ListBullet2"/>
      </w:pPr>
      <w:r w:rsidRPr="002A2681">
        <w:t>disconnecting terminals from connectors</w:t>
      </w:r>
    </w:p>
    <w:p w:rsidR="00000000" w:rsidRPr="002A2681" w:rsidP="002A2681">
      <w:pPr>
        <w:pStyle w:val="ListBullet"/>
      </w:pPr>
      <w:r w:rsidRPr="002A2681">
        <w:t>repair procedures of wiring harnesses and looms, including:</w:t>
      </w:r>
    </w:p>
    <w:p w:rsidR="00000000" w:rsidRPr="002A2681" w:rsidP="002A2681">
      <w:pPr>
        <w:pStyle w:val="ListBullet2"/>
      </w:pPr>
      <w:r w:rsidRPr="002A2681">
        <w:t>de</w:t>
      </w:r>
      <w:r w:rsidRPr="002A2681">
        <w:t>termining cable and terminal types and sizes according to circuit current draw</w:t>
      </w:r>
    </w:p>
    <w:p w:rsidR="00000000" w:rsidRPr="002A2681" w:rsidP="002A2681">
      <w:pPr>
        <w:pStyle w:val="ListBullet2"/>
      </w:pPr>
      <w:r w:rsidRPr="002A2681">
        <w:t>wire soldering procedures</w:t>
      </w:r>
    </w:p>
    <w:p w:rsidR="00000000" w:rsidRPr="002A2681" w:rsidP="002A2681">
      <w:pPr>
        <w:pStyle w:val="ListBullet2"/>
      </w:pPr>
      <w:r w:rsidRPr="002A2681">
        <w:t>terminal crimping</w:t>
      </w:r>
    </w:p>
    <w:p w:rsidR="00000000" w:rsidRPr="002A2681" w:rsidP="002A2681">
      <w:pPr>
        <w:pStyle w:val="ListBullet2"/>
      </w:pPr>
      <w:r w:rsidRPr="002A2681">
        <w:t>replacing male and female terminals within a connector housing</w:t>
      </w:r>
    </w:p>
    <w:p w:rsidR="00000000" w:rsidRPr="002A2681" w:rsidP="002A2681">
      <w:pPr>
        <w:pStyle w:val="ListBullet2"/>
      </w:pPr>
      <w:r w:rsidRPr="002A2681">
        <w:t>protecting and routing harness and loom</w:t>
      </w:r>
    </w:p>
    <w:p w:rsidR="00000000" w:rsidRPr="002A2681" w:rsidP="002A2681">
      <w:pPr>
        <w:pStyle w:val="ListBullet"/>
      </w:pPr>
      <w:r w:rsidRPr="002A2681">
        <w:t>post-repair testing procedure</w:t>
      </w:r>
      <w:r w:rsidRPr="002A2681">
        <w:t>s of wiring harnesses and looms, including procedures for checking full operation of associated electrical systems.</w:t>
      </w:r>
    </w:p>
    <w:p w:rsidR="00000000" w:rsidRPr="002A2681" w:rsidP="002A2681">
      <w:pPr>
        <w:pStyle w:val="AllowPageBreak"/>
      </w:pPr>
    </w:p>
    <w:p w:rsidR="00000000" w:rsidRPr="002A2681" w:rsidP="002A2681">
      <w:pPr>
        <w:pStyle w:val="Heading1"/>
      </w:pPr>
      <w:bookmarkStart w:id="4" w:name="O_794532"/>
      <w:bookmarkEnd w:id="4"/>
      <w:r w:rsidRPr="002A2681">
        <w:t>Assessment Conditions</w:t>
      </w:r>
    </w:p>
    <w:p w:rsidR="00000000" w:rsidRPr="002A2681" w:rsidP="00515C76">
      <w:pPr>
        <w:pStyle w:val="BodyText"/>
      </w:pPr>
      <w:r w:rsidRPr="002A2681">
        <w:t>Assessors must satisfy NVR/AQTF assessor requirements.</w:t>
      </w:r>
    </w:p>
    <w:p w:rsidR="00000000" w:rsidRPr="002A2681" w:rsidP="00515C76">
      <w:pPr>
        <w:pStyle w:val="BodyText"/>
      </w:pPr>
      <w:r w:rsidRPr="002A2681">
        <w:t>Competency is to be assessed in the workplace</w:t>
      </w:r>
      <w:r w:rsidRPr="002A2681">
        <w:t xml:space="preserve"> or a simulated environment that accurately reflects performance in a real workplace setting.</w:t>
      </w:r>
    </w:p>
    <w:p w:rsidR="00000000" w:rsidRPr="002A2681" w:rsidP="00515C76">
      <w:pPr>
        <w:pStyle w:val="BodyText"/>
      </w:pPr>
      <w:r w:rsidRPr="002A2681">
        <w:t>Assessment must include direct observation of tasks.</w:t>
      </w:r>
    </w:p>
    <w:p w:rsidR="00000000" w:rsidRPr="002A2681" w:rsidP="00515C76">
      <w:pPr>
        <w:pStyle w:val="BodyText"/>
      </w:pPr>
      <w:r w:rsidRPr="002A2681">
        <w:t>Where assessment of competency includes third-party evidence, individuals must provide evidence that links them to the vehicle, vessel or machinery wiring harnesses and looms that they have repaired, e.g. repair orders.</w:t>
      </w:r>
    </w:p>
    <w:p w:rsidR="00000000" w:rsidRPr="002A2681" w:rsidP="00515C76">
      <w:pPr>
        <w:pStyle w:val="BodyText"/>
      </w:pPr>
      <w:r w:rsidRPr="002A2681">
        <w:t>Assessors must verify performance e</w:t>
      </w:r>
      <w:r w:rsidRPr="002A2681">
        <w:t>vidence through questioning on skills and knowledge to ensure correct interpretation and application.</w:t>
      </w:r>
    </w:p>
    <w:p w:rsidR="00000000" w:rsidRPr="002A2681" w:rsidP="00515C76">
      <w:pPr>
        <w:pStyle w:val="BodyText"/>
      </w:pPr>
      <w:r w:rsidRPr="002A2681">
        <w:t>The following resources must be made available:</w:t>
      </w:r>
    </w:p>
    <w:p w:rsidR="00000000" w:rsidRPr="002A2681" w:rsidP="002A2681">
      <w:pPr>
        <w:pStyle w:val="ListBullet"/>
      </w:pPr>
      <w:r w:rsidRPr="002A2681">
        <w:t>automotive repair workplace or simulated workplace</w:t>
      </w:r>
    </w:p>
    <w:p w:rsidR="00000000" w:rsidRPr="002A2681" w:rsidP="002A2681">
      <w:pPr>
        <w:pStyle w:val="ListBullet"/>
      </w:pPr>
      <w:r w:rsidRPr="002A2681">
        <w:t>workplace instructions</w:t>
      </w:r>
    </w:p>
    <w:p w:rsidR="00000000" w:rsidRPr="002A2681" w:rsidP="002A2681">
      <w:pPr>
        <w:pStyle w:val="ListBullet"/>
      </w:pPr>
      <w:r w:rsidRPr="002A2681">
        <w:t xml:space="preserve">manufacturer machinery wiring </w:t>
      </w:r>
      <w:r w:rsidRPr="002A2681">
        <w:t>specifications</w:t>
      </w:r>
    </w:p>
    <w:p w:rsidR="00000000" w:rsidRPr="002A2681" w:rsidP="002A2681">
      <w:pPr>
        <w:pStyle w:val="ListBullet"/>
      </w:pPr>
      <w:r w:rsidRPr="002A2681">
        <w:t>three different vehicles, vessels or machinery requiring repairs to their wiring harnesses and looms</w:t>
      </w:r>
    </w:p>
    <w:p w:rsidR="00000000" w:rsidRPr="002A2681" w:rsidP="002A2681">
      <w:pPr>
        <w:pStyle w:val="ListBullet"/>
      </w:pPr>
      <w:r w:rsidRPr="002A2681">
        <w:t>tools, equipment and materials appropriate for repairing wiring harnesses and looms, including:</w:t>
      </w:r>
    </w:p>
    <w:p w:rsidR="00000000" w:rsidRPr="002A2681" w:rsidP="002A2681">
      <w:pPr>
        <w:pStyle w:val="ListBullet2"/>
      </w:pPr>
      <w:r w:rsidRPr="002A2681">
        <w:t>multimeter</w:t>
      </w:r>
    </w:p>
    <w:p w:rsidR="00000000" w:rsidRPr="002A2681" w:rsidP="002A2681">
      <w:pPr>
        <w:pStyle w:val="ListBullet2"/>
      </w:pPr>
      <w:r w:rsidRPr="002A2681">
        <w:t>continuity tester</w:t>
      </w:r>
    </w:p>
    <w:p w:rsidR="00000000" w:rsidRPr="002A2681" w:rsidP="002A2681">
      <w:pPr>
        <w:pStyle w:val="ListBullet2"/>
      </w:pPr>
      <w:r w:rsidRPr="002A2681">
        <w:t>crimping tools</w:t>
      </w:r>
    </w:p>
    <w:p w:rsidR="00000000" w:rsidRPr="002A2681" w:rsidP="002A2681">
      <w:pPr>
        <w:pStyle w:val="ListBullet2"/>
      </w:pPr>
      <w:r w:rsidRPr="002A2681">
        <w:t>soldering equipment</w:t>
      </w:r>
    </w:p>
    <w:p w:rsidR="00000000" w:rsidRPr="002A2681" w:rsidP="002A2681">
      <w:pPr>
        <w:pStyle w:val="ListBullet2"/>
      </w:pPr>
      <w:r w:rsidRPr="002A2681">
        <w:t>heat gun</w:t>
      </w:r>
    </w:p>
    <w:p w:rsidR="00000000" w:rsidRPr="002A2681" w:rsidP="002A2681">
      <w:pPr>
        <w:pStyle w:val="ListBullet2"/>
      </w:pPr>
      <w:r w:rsidRPr="002A2681">
        <w:t>terminals and connectors</w:t>
      </w:r>
    </w:p>
    <w:p w:rsidR="00000000" w:rsidRPr="002A2681" w:rsidP="002A2681">
      <w:pPr>
        <w:pStyle w:val="ListBullet2"/>
      </w:pPr>
      <w:r w:rsidRPr="002A2681">
        <w:t>wire and cabling.</w:t>
      </w:r>
    </w:p>
    <w:p w:rsidR="00000000" w:rsidRPr="002A2681" w:rsidP="002A2681">
      <w:pPr>
        <w:pStyle w:val="AllowPageBreak"/>
      </w:pPr>
    </w:p>
    <w:p w:rsidR="00000000" w:rsidRPr="002A2681" w:rsidP="002A2681">
      <w:pPr>
        <w:pStyle w:val="Heading1"/>
      </w:pPr>
      <w:bookmarkStart w:id="5" w:name="O_794535"/>
      <w:bookmarkEnd w:id="5"/>
      <w:r w:rsidRPr="002A2681">
        <w:t>Links</w:t>
      </w:r>
    </w:p>
    <w:p w:rsidR="00000000" w:rsidRPr="002A2681" w:rsidP="00515C76">
      <w:pPr>
        <w:pStyle w:val="BodyText"/>
      </w:pPr>
      <w:r w:rsidRPr="002A26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0390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2681" w:rsidP="00515C76">
      <w:pPr>
        <w:pStyle w:val="BodyText"/>
      </w:pPr>
      <w:r w:rsidRPr="002A26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0390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2681" w:rsidP="002A2681"/>
    <w:sectPr w:rsidSect="002A26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1" w:rsidRPr="00515C76" w:rsidP="00515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76" w:rsidP="002A2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C76" w:rsidP="002A2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15C76" w:rsidP="002A2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681" w:rsidRPr="00515C76" w:rsidP="00515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76" w:rsidRPr="002D2AF8" w:rsidP="002A2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AURETR010 Repair wiring harnesses and looms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15C76" w:rsidP="002A2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42E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A1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4A1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681"/>
  </w:style>
  <w:style w:type="character" w:customStyle="1" w:styleId="Heading1Char">
    <w:name w:val="Heading 1 Char"/>
    <w:basedOn w:val="DefaultParagraphFont"/>
    <w:link w:val="Heading1"/>
    <w:rsid w:val="002A2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6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6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6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681"/>
    <w:rPr>
      <w:b/>
      <w:spacing w:val="0"/>
    </w:rPr>
  </w:style>
  <w:style w:type="paragraph" w:styleId="ListBullet2">
    <w:name w:val="List Bullet 2"/>
    <w:basedOn w:val="List2"/>
    <w:rsid w:val="002A26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26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2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6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6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681"/>
    <w:rPr>
      <w:i/>
    </w:rPr>
  </w:style>
  <w:style w:type="paragraph" w:styleId="Caption">
    <w:name w:val="caption"/>
    <w:basedOn w:val="BodyText"/>
    <w:next w:val="Normal"/>
    <w:qFormat/>
    <w:rsid w:val="002A2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681"/>
  </w:style>
  <w:style w:type="paragraph" w:styleId="TableofFigures">
    <w:name w:val="table of figures"/>
    <w:basedOn w:val="Normal"/>
    <w:next w:val="Normal"/>
    <w:semiHidden/>
    <w:rsid w:val="002A2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6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2681"/>
    <w:rPr>
      <w:rFonts w:ascii="Wingdings" w:hAnsi="Wingdings"/>
    </w:rPr>
  </w:style>
  <w:style w:type="paragraph" w:customStyle="1" w:styleId="TableHeading">
    <w:name w:val="Table Heading"/>
    <w:basedOn w:val="HeadingBase"/>
    <w:rsid w:val="002A2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681"/>
    <w:rPr>
      <w:color w:val="0033CC"/>
      <w:u w:val="none"/>
    </w:rPr>
  </w:style>
  <w:style w:type="paragraph" w:customStyle="1" w:styleId="BodyTextRight">
    <w:name w:val="Body Text Right"/>
    <w:basedOn w:val="BodyText"/>
    <w:rsid w:val="002A2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6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681"/>
    <w:rPr>
      <w:sz w:val="32"/>
    </w:rPr>
  </w:style>
  <w:style w:type="paragraph" w:customStyle="1" w:styleId="HeadingProcedure">
    <w:name w:val="Heading Procedure"/>
    <w:basedOn w:val="HeadingBase"/>
    <w:next w:val="Normal"/>
    <w:rsid w:val="002A2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681"/>
    <w:pPr>
      <w:spacing w:before="60" w:after="60"/>
    </w:pPr>
  </w:style>
  <w:style w:type="paragraph" w:styleId="ListContinue">
    <w:name w:val="List Continue"/>
    <w:basedOn w:val="List"/>
    <w:rsid w:val="002A2681"/>
    <w:pPr>
      <w:ind w:firstLine="0"/>
    </w:pPr>
  </w:style>
  <w:style w:type="paragraph" w:customStyle="1" w:styleId="ListNote">
    <w:name w:val="List Note"/>
    <w:basedOn w:val="List"/>
    <w:rsid w:val="002A2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681"/>
    <w:rPr>
      <w:rFonts w:ascii="Courier New" w:hAnsi="Courier New"/>
    </w:rPr>
  </w:style>
  <w:style w:type="paragraph" w:customStyle="1" w:styleId="NoteBullet">
    <w:name w:val="Note Bullet"/>
    <w:basedOn w:val="Note"/>
    <w:rsid w:val="002A2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6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2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681"/>
    <w:rPr>
      <w:b/>
      <w:smallCaps/>
    </w:rPr>
  </w:style>
  <w:style w:type="paragraph" w:customStyle="1" w:styleId="TableListNumber">
    <w:name w:val="Table List Number"/>
    <w:basedOn w:val="ListNumber"/>
    <w:rsid w:val="002A2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681"/>
    <w:pPr>
      <w:numPr>
        <w:numId w:val="10"/>
      </w:numPr>
    </w:pPr>
  </w:style>
  <w:style w:type="paragraph" w:customStyle="1" w:styleId="ListAlpha2">
    <w:name w:val="List Alpha 2"/>
    <w:basedOn w:val="List2"/>
    <w:rsid w:val="002A2681"/>
    <w:pPr>
      <w:numPr>
        <w:numId w:val="9"/>
      </w:numPr>
    </w:pPr>
  </w:style>
  <w:style w:type="paragraph" w:styleId="List2">
    <w:name w:val="List 2"/>
    <w:basedOn w:val="BodyText"/>
    <w:rsid w:val="002A2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6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26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2681"/>
    <w:pPr>
      <w:numPr>
        <w:numId w:val="5"/>
      </w:numPr>
    </w:pPr>
  </w:style>
  <w:style w:type="paragraph" w:styleId="ListContinue2">
    <w:name w:val="List Continue 2"/>
    <w:basedOn w:val="List2"/>
    <w:rsid w:val="002A2681"/>
    <w:pPr>
      <w:ind w:firstLine="0"/>
    </w:pPr>
  </w:style>
  <w:style w:type="paragraph" w:styleId="ListContinue3">
    <w:name w:val="List Continue 3"/>
    <w:basedOn w:val="List3"/>
    <w:rsid w:val="002A2681"/>
    <w:pPr>
      <w:ind w:left="1021" w:firstLine="0"/>
    </w:pPr>
  </w:style>
  <w:style w:type="paragraph" w:styleId="ListContinue4">
    <w:name w:val="List Continue 4"/>
    <w:basedOn w:val="List4"/>
    <w:rsid w:val="002A2681"/>
    <w:pPr>
      <w:ind w:firstLine="0"/>
    </w:pPr>
  </w:style>
  <w:style w:type="paragraph" w:styleId="ListContinue5">
    <w:name w:val="List Continue 5"/>
    <w:basedOn w:val="List5"/>
    <w:rsid w:val="002A2681"/>
    <w:pPr>
      <w:ind w:firstLine="0"/>
    </w:pPr>
  </w:style>
  <w:style w:type="paragraph" w:styleId="ListNumber3">
    <w:name w:val="List Number 3"/>
    <w:basedOn w:val="List3"/>
    <w:rsid w:val="002A2681"/>
    <w:pPr>
      <w:numPr>
        <w:numId w:val="6"/>
      </w:numPr>
    </w:pPr>
  </w:style>
  <w:style w:type="paragraph" w:styleId="ListNumber4">
    <w:name w:val="List Number 4"/>
    <w:basedOn w:val="List4"/>
    <w:rsid w:val="002A2681"/>
    <w:pPr>
      <w:numPr>
        <w:numId w:val="7"/>
      </w:numPr>
    </w:pPr>
  </w:style>
  <w:style w:type="paragraph" w:styleId="ListNumber5">
    <w:name w:val="List Number 5"/>
    <w:basedOn w:val="List5"/>
    <w:rsid w:val="002A2681"/>
    <w:pPr>
      <w:numPr>
        <w:numId w:val="8"/>
      </w:numPr>
    </w:pPr>
  </w:style>
  <w:style w:type="paragraph" w:styleId="BlockText">
    <w:name w:val="Block Text"/>
    <w:basedOn w:val="Normal"/>
    <w:rsid w:val="002A2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681"/>
    <w:rPr>
      <w:sz w:val="16"/>
      <w:vertAlign w:val="superscript"/>
    </w:rPr>
  </w:style>
  <w:style w:type="character" w:customStyle="1" w:styleId="Symbols">
    <w:name w:val="Symbols"/>
    <w:basedOn w:val="DefaultParagraphFont"/>
    <w:rsid w:val="002A2681"/>
    <w:rPr>
      <w:rFonts w:ascii="Symbol" w:hAnsi="Symbol"/>
    </w:rPr>
  </w:style>
  <w:style w:type="character" w:customStyle="1" w:styleId="MenuOptions">
    <w:name w:val="Menu Options"/>
    <w:basedOn w:val="DefaultParagraphFont"/>
    <w:rsid w:val="002A2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681"/>
    <w:rPr>
      <w:b/>
    </w:rPr>
  </w:style>
  <w:style w:type="character" w:customStyle="1" w:styleId="Underlined">
    <w:name w:val="Underlined"/>
    <w:basedOn w:val="DefaultParagraphFont"/>
    <w:rsid w:val="002A2681"/>
    <w:rPr>
      <w:u w:val="single"/>
    </w:rPr>
  </w:style>
  <w:style w:type="paragraph" w:customStyle="1" w:styleId="TableBodyTextRight">
    <w:name w:val="Table Body Text Right"/>
    <w:basedOn w:val="TableBodyText"/>
    <w:rsid w:val="002A2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681"/>
    <w:rPr>
      <w:sz w:val="18"/>
    </w:rPr>
  </w:style>
  <w:style w:type="paragraph" w:customStyle="1" w:styleId="BodySmallRight">
    <w:name w:val="Body Small Right"/>
    <w:basedOn w:val="BodyTextRight"/>
    <w:rsid w:val="002A2681"/>
    <w:rPr>
      <w:sz w:val="18"/>
      <w:szCs w:val="18"/>
    </w:rPr>
  </w:style>
  <w:style w:type="paragraph" w:customStyle="1" w:styleId="MarginEdition">
    <w:name w:val="Margin Edition"/>
    <w:basedOn w:val="MarginNote"/>
    <w:rsid w:val="002A2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681"/>
    <w:rPr>
      <w:sz w:val="2"/>
      <w:szCs w:val="2"/>
    </w:rPr>
  </w:style>
  <w:style w:type="character" w:customStyle="1" w:styleId="Small">
    <w:name w:val="Small"/>
    <w:basedOn w:val="DefaultParagraphFont"/>
    <w:rsid w:val="002A2681"/>
    <w:rPr>
      <w:sz w:val="16"/>
    </w:rPr>
  </w:style>
  <w:style w:type="paragraph" w:customStyle="1" w:styleId="WideTable">
    <w:name w:val="Wide Table"/>
    <w:basedOn w:val="Normal"/>
    <w:rsid w:val="002A2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681"/>
  </w:style>
  <w:style w:type="paragraph" w:styleId="Quote">
    <w:name w:val="Quote"/>
    <w:basedOn w:val="Heading1"/>
    <w:link w:val="QuoteChar"/>
    <w:qFormat/>
    <w:rsid w:val="002A2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681"/>
    <w:pPr>
      <w:pageBreakBefore/>
    </w:pPr>
  </w:style>
  <w:style w:type="paragraph" w:customStyle="1" w:styleId="Border">
    <w:name w:val="Border"/>
    <w:basedOn w:val="Normal"/>
    <w:qFormat/>
    <w:rsid w:val="002A2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681"/>
    <w:rPr>
      <w:u w:val="single"/>
    </w:rPr>
  </w:style>
  <w:style w:type="character" w:customStyle="1" w:styleId="BoldandItalics">
    <w:name w:val="Bold and Italics"/>
    <w:qFormat/>
    <w:rsid w:val="002A2681"/>
    <w:rPr>
      <w:b/>
      <w:i/>
      <w:u w:val="none"/>
    </w:rPr>
  </w:style>
  <w:style w:type="paragraph" w:styleId="BalloonText">
    <w:name w:val="Balloon Text"/>
    <w:basedOn w:val="Normal"/>
    <w:link w:val="BalloonTextChar"/>
    <w:rsid w:val="002A2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6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6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681"/>
    <w:pPr>
      <w:spacing w:before="0" w:after="0"/>
    </w:pPr>
  </w:style>
  <w:style w:type="paragraph" w:customStyle="1" w:styleId="BodyTextBold">
    <w:name w:val="Body Text Bold"/>
    <w:basedOn w:val="BodyText"/>
    <w:qFormat/>
    <w:rsid w:val="002A2681"/>
    <w:rPr>
      <w:b/>
    </w:rPr>
  </w:style>
  <w:style w:type="character" w:styleId="Hyperlink">
    <w:name w:val="Hyperlink"/>
    <w:basedOn w:val="DefaultParagraphFont"/>
    <w:uiPriority w:val="99"/>
    <w:unhideWhenUsed/>
    <w:rsid w:val="00515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3910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AURETR010 Repair wiring harnesses and looms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