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C08" w:rsidP="00915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AURETR006 Solder electrical wiring and circuits</w:t>
      </w:r>
      <w:r>
        <w:fldChar w:fldCharType="end"/>
      </w:r>
    </w:p>
    <w:p w:rsidR="00915C08" w:rsidP="00915C08">
      <w:pPr>
        <w:pStyle w:val="Version"/>
        <w:sectPr w:rsidSect="00C96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660" w:rsidP="00C96660">
      <w:pPr>
        <w:pStyle w:val="SuperHeading"/>
      </w:pPr>
      <w:r w:rsidRPr="00C96660">
        <w:t>Assessment Requirements for AURETR006 Solder electrical wiring and circuits</w:t>
      </w:r>
    </w:p>
    <w:p w:rsidR="00000000" w:rsidRPr="00C96660" w:rsidP="00C96660">
      <w:pPr>
        <w:pStyle w:val="Heading1"/>
      </w:pPr>
      <w:bookmarkStart w:id="1" w:name="O_794453"/>
      <w:bookmarkEnd w:id="1"/>
      <w:r w:rsidRPr="00C9666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5C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660" w:rsidP="00C96660">
            <w:pPr>
              <w:pStyle w:val="BodyText"/>
            </w:pPr>
            <w:r w:rsidRPr="00C9666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60">
            <w:pPr>
              <w:pStyle w:val="BodyText"/>
              <w:rPr>
                <w:lang w:val="en-NZ"/>
              </w:rPr>
            </w:pPr>
            <w:r w:rsidRPr="00C96660">
              <w:rPr>
                <w:rStyle w:val="SpecialBold"/>
              </w:rPr>
              <w:t>Comment</w:t>
            </w:r>
          </w:p>
        </w:tc>
      </w:tr>
      <w:tr w:rsidTr="00915C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660">
            <w:pPr>
              <w:pStyle w:val="BodyText"/>
              <w:rPr>
                <w:lang w:val="en-NZ"/>
              </w:rPr>
            </w:pPr>
            <w:r w:rsidRPr="00C9666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660" w:rsidP="00C96660">
            <w:pPr>
              <w:pStyle w:val="BodyText"/>
            </w:pPr>
            <w:r w:rsidRPr="00C96660">
              <w:t>New unit of competency.</w:t>
            </w:r>
          </w:p>
        </w:tc>
      </w:tr>
    </w:tbl>
    <w:p w:rsidR="00000000" w:rsidRPr="00C96660" w:rsidP="00C96660">
      <w:pPr>
        <w:pStyle w:val="BodyText"/>
      </w:pPr>
    </w:p>
    <w:p w:rsidR="00000000" w:rsidRPr="00C96660" w:rsidP="00C96660">
      <w:pPr>
        <w:pStyle w:val="AllowPageBreak"/>
      </w:pPr>
    </w:p>
    <w:p w:rsidR="00000000" w:rsidRPr="00C96660" w:rsidP="00C96660">
      <w:pPr>
        <w:pStyle w:val="Heading1"/>
      </w:pPr>
      <w:bookmarkStart w:id="2" w:name="O_794454"/>
      <w:bookmarkEnd w:id="2"/>
      <w:r w:rsidRPr="00C96660">
        <w:t>Performance Evidence</w:t>
      </w:r>
    </w:p>
    <w:p w:rsidR="00000000" w:rsidRPr="00C96660" w:rsidP="00915C08">
      <w:pPr>
        <w:pStyle w:val="BodyText"/>
      </w:pPr>
      <w:r w:rsidRPr="00C96660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C96660" w:rsidP="00C96660">
      <w:pPr>
        <w:pStyle w:val="ListBullet"/>
      </w:pPr>
      <w:r w:rsidRPr="00C96660">
        <w:t xml:space="preserve">solder the wiring of six different </w:t>
      </w:r>
      <w:r w:rsidRPr="00C96660">
        <w:t>electrical components, in which the work must involve:</w:t>
      </w:r>
    </w:p>
    <w:p w:rsidR="00000000" w:rsidRPr="00C96660" w:rsidP="00C96660">
      <w:pPr>
        <w:pStyle w:val="ListBullet2"/>
      </w:pPr>
      <w:r w:rsidRPr="00C96660">
        <w:t>different sized gauge wires</w:t>
      </w:r>
    </w:p>
    <w:p w:rsidR="00000000" w:rsidRPr="00C96660" w:rsidP="00C96660">
      <w:pPr>
        <w:pStyle w:val="ListBullet2"/>
      </w:pPr>
      <w:r w:rsidRPr="00C96660">
        <w:t>electrical terminals</w:t>
      </w:r>
    </w:p>
    <w:p w:rsidR="00000000" w:rsidRPr="00C96660" w:rsidP="00C96660">
      <w:pPr>
        <w:pStyle w:val="ListBullet2"/>
      </w:pPr>
      <w:r w:rsidRPr="00C96660">
        <w:t>resin core solder</w:t>
      </w:r>
    </w:p>
    <w:p w:rsidR="00000000" w:rsidRPr="00C96660" w:rsidP="00C96660">
      <w:pPr>
        <w:pStyle w:val="ListBullet2"/>
      </w:pPr>
      <w:r w:rsidRPr="00C96660">
        <w:t>heat shrink sleeving.</w:t>
      </w:r>
    </w:p>
    <w:p w:rsidR="00000000" w:rsidRPr="00C96660" w:rsidP="00C96660">
      <w:pPr>
        <w:pStyle w:val="AllowPageBreak"/>
      </w:pPr>
    </w:p>
    <w:p w:rsidR="00000000" w:rsidRPr="00C96660" w:rsidP="00C96660">
      <w:pPr>
        <w:pStyle w:val="Heading1"/>
      </w:pPr>
      <w:bookmarkStart w:id="3" w:name="O_794455"/>
      <w:bookmarkEnd w:id="3"/>
      <w:r w:rsidRPr="00C96660">
        <w:t>Knowledge Evidence</w:t>
      </w:r>
    </w:p>
    <w:p w:rsidR="00000000" w:rsidRPr="00C96660" w:rsidP="00915C08">
      <w:pPr>
        <w:pStyle w:val="BodyText"/>
      </w:pPr>
      <w:r w:rsidRPr="00C96660">
        <w:t>Individuals must be able to demonstrate knowledge of:</w:t>
      </w:r>
    </w:p>
    <w:p w:rsidR="00000000" w:rsidRPr="00C96660" w:rsidP="00C96660">
      <w:pPr>
        <w:pStyle w:val="ListBullet"/>
      </w:pPr>
      <w:r w:rsidRPr="00C96660">
        <w:t>work health and safety (WHS) and occupational health and safety (OHS) requirements relating to soldering electrical wiring and circuits, including procedures for:</w:t>
      </w:r>
    </w:p>
    <w:p w:rsidR="00000000" w:rsidRPr="00C96660" w:rsidP="00C96660">
      <w:pPr>
        <w:pStyle w:val="ListBullet2"/>
      </w:pPr>
      <w:r w:rsidRPr="00C96660">
        <w:t>using safety data sheets (SDS)</w:t>
      </w:r>
    </w:p>
    <w:p w:rsidR="00000000" w:rsidRPr="00C96660" w:rsidP="00C96660">
      <w:pPr>
        <w:pStyle w:val="ListBullet2"/>
      </w:pPr>
      <w:r w:rsidRPr="00C96660">
        <w:t>selecting and using personal protective equipment (PPE)</w:t>
      </w:r>
    </w:p>
    <w:p w:rsidR="00000000" w:rsidRPr="00C96660" w:rsidP="00C96660">
      <w:pPr>
        <w:pStyle w:val="ListBullet2"/>
      </w:pPr>
      <w:r w:rsidRPr="00C96660">
        <w:t>safel</w:t>
      </w:r>
      <w:r w:rsidRPr="00C96660">
        <w:t>y handling materials during solder process</w:t>
      </w:r>
    </w:p>
    <w:p w:rsidR="00000000" w:rsidRPr="00C96660" w:rsidP="00C96660">
      <w:pPr>
        <w:pStyle w:val="ListBullet2"/>
      </w:pPr>
      <w:r w:rsidRPr="00C96660">
        <w:t>safely operating soldering equipment</w:t>
      </w:r>
    </w:p>
    <w:p w:rsidR="00000000" w:rsidRPr="00C96660" w:rsidP="00C96660">
      <w:pPr>
        <w:pStyle w:val="ListBullet2"/>
      </w:pPr>
      <w:r w:rsidRPr="00C96660">
        <w:t>identifying and using firefighting and first aid equipment</w:t>
      </w:r>
    </w:p>
    <w:p w:rsidR="00000000" w:rsidRPr="00C96660" w:rsidP="00C96660">
      <w:pPr>
        <w:pStyle w:val="ListBullet"/>
      </w:pPr>
      <w:r w:rsidRPr="00C96660">
        <w:t>environmental requirements, including procedures for trapping, storing and disposing of material released during sol</w:t>
      </w:r>
      <w:r w:rsidRPr="00C96660">
        <w:t>dering process</w:t>
      </w:r>
    </w:p>
    <w:p w:rsidR="00000000" w:rsidRPr="00C96660" w:rsidP="00C96660">
      <w:pPr>
        <w:pStyle w:val="ListBullet"/>
      </w:pPr>
      <w:r w:rsidRPr="00C96660">
        <w:t>location and content of workplace preparation and soldering procedures, SDS and manufacturer specifications</w:t>
      </w:r>
    </w:p>
    <w:p w:rsidR="00000000" w:rsidRPr="00C96660" w:rsidP="00C96660">
      <w:pPr>
        <w:pStyle w:val="ListBullet"/>
      </w:pPr>
      <w:r w:rsidRPr="00C96660">
        <w:t>procedures for preparing to solder electrical wiring and circuits, including:</w:t>
      </w:r>
    </w:p>
    <w:p w:rsidR="00000000" w:rsidRPr="00C96660" w:rsidP="00C96660">
      <w:pPr>
        <w:pStyle w:val="ListBullet2"/>
      </w:pPr>
      <w:r w:rsidRPr="00C96660">
        <w:t xml:space="preserve">preparing and cleaning components </w:t>
      </w:r>
      <w:r w:rsidRPr="00C96660">
        <w:t>to be soldered, including selecting appropriate cleaning solutions</w:t>
      </w:r>
    </w:p>
    <w:p w:rsidR="00000000" w:rsidRPr="00C96660" w:rsidP="00C96660">
      <w:pPr>
        <w:pStyle w:val="ListBullet2"/>
      </w:pPr>
      <w:r w:rsidRPr="00C96660">
        <w:t>methods of holding components to be soldered</w:t>
      </w:r>
    </w:p>
    <w:p w:rsidR="00000000" w:rsidRPr="00C96660" w:rsidP="00C96660">
      <w:pPr>
        <w:pStyle w:val="ListBullet2"/>
      </w:pPr>
      <w:r w:rsidRPr="00C96660">
        <w:t>soldering fluxes and their application</w:t>
      </w:r>
    </w:p>
    <w:p w:rsidR="00000000" w:rsidRPr="00C96660" w:rsidP="00C96660">
      <w:pPr>
        <w:pStyle w:val="ListBullet2"/>
      </w:pPr>
      <w:r w:rsidRPr="00C96660">
        <w:t>resin core solder types, diameter and application</w:t>
      </w:r>
    </w:p>
    <w:p w:rsidR="00000000" w:rsidRPr="00C96660" w:rsidP="00C96660">
      <w:pPr>
        <w:pStyle w:val="ListBullet2"/>
      </w:pPr>
      <w:r w:rsidRPr="00C96660">
        <w:t>types and applications of soldering irons</w:t>
      </w:r>
    </w:p>
    <w:p w:rsidR="00000000" w:rsidRPr="00C96660" w:rsidP="00C96660">
      <w:pPr>
        <w:pStyle w:val="ListBullet"/>
      </w:pPr>
      <w:r w:rsidRPr="00C96660">
        <w:t>procedures f</w:t>
      </w:r>
      <w:r w:rsidRPr="00C96660">
        <w:t>or soldering electrical wiring and circuits, including:</w:t>
      </w:r>
    </w:p>
    <w:p w:rsidR="00000000" w:rsidRPr="00C96660" w:rsidP="00C96660">
      <w:pPr>
        <w:pStyle w:val="ListBullet2"/>
      </w:pPr>
      <w:r w:rsidRPr="00C96660">
        <w:t>applying heat and solder to the parts to be joined</w:t>
      </w:r>
    </w:p>
    <w:p w:rsidR="00000000" w:rsidRPr="00C96660" w:rsidP="00C96660">
      <w:pPr>
        <w:pStyle w:val="ListBullet2"/>
      </w:pPr>
      <w:r w:rsidRPr="00C96660">
        <w:t>allowing cooling without movement</w:t>
      </w:r>
    </w:p>
    <w:p w:rsidR="00000000" w:rsidRPr="00C96660" w:rsidP="00C96660">
      <w:pPr>
        <w:pStyle w:val="ListBullet"/>
      </w:pPr>
      <w:r w:rsidRPr="00C96660">
        <w:t>work completion procedures for soldering electrical wiring and circuits, including procedures for final visual in</w:t>
      </w:r>
      <w:r w:rsidRPr="00C96660">
        <w:t>spection of soldered connections, including:</w:t>
      </w:r>
    </w:p>
    <w:p w:rsidR="00000000" w:rsidRPr="00C96660" w:rsidP="00C96660">
      <w:pPr>
        <w:pStyle w:val="ListBullet2"/>
      </w:pPr>
      <w:r w:rsidRPr="00C96660">
        <w:t>manufacturer and workplace specifications for acceptable soldering standard</w:t>
      </w:r>
    </w:p>
    <w:p w:rsidR="00000000" w:rsidRPr="00C96660" w:rsidP="00C96660">
      <w:pPr>
        <w:pStyle w:val="ListBullet2"/>
      </w:pPr>
      <w:r w:rsidRPr="00C96660">
        <w:t>post-soldering insulation, including heat shrink sleeving and application of electrical tape.</w:t>
      </w:r>
    </w:p>
    <w:p w:rsidR="00000000" w:rsidRPr="00C96660" w:rsidP="00C96660">
      <w:pPr>
        <w:pStyle w:val="AllowPageBreak"/>
      </w:pPr>
    </w:p>
    <w:p w:rsidR="00000000" w:rsidRPr="00C96660" w:rsidP="00C96660">
      <w:pPr>
        <w:pStyle w:val="Heading1"/>
      </w:pPr>
      <w:bookmarkStart w:id="4" w:name="O_794456"/>
      <w:bookmarkEnd w:id="4"/>
      <w:r w:rsidRPr="00C96660">
        <w:t>Assessment Conditions</w:t>
      </w:r>
    </w:p>
    <w:p w:rsidR="00000000" w:rsidRPr="00C96660" w:rsidP="00915C08">
      <w:pPr>
        <w:pStyle w:val="BodyText"/>
      </w:pPr>
      <w:r w:rsidRPr="00C96660">
        <w:t>Assessors must satisfy NVR/AQTF assessor requirements.</w:t>
      </w:r>
    </w:p>
    <w:p w:rsidR="00000000" w:rsidRPr="00C96660" w:rsidP="00915C08">
      <w:pPr>
        <w:pStyle w:val="BodyText"/>
      </w:pPr>
      <w:r w:rsidRPr="00C96660">
        <w:t>Competency is to be assessed in the workplace or a simulated environment that accurately reflects performance in a real workplace setting.</w:t>
      </w:r>
    </w:p>
    <w:p w:rsidR="00000000" w:rsidRPr="00C96660" w:rsidP="00915C08">
      <w:pPr>
        <w:pStyle w:val="BodyText"/>
      </w:pPr>
      <w:r w:rsidRPr="00C96660">
        <w:t>Assessment must include direct observation of tasks.</w:t>
      </w:r>
    </w:p>
    <w:p w:rsidR="00000000" w:rsidRPr="00C96660" w:rsidP="00915C08">
      <w:pPr>
        <w:pStyle w:val="BodyText"/>
      </w:pPr>
      <w:r w:rsidRPr="00C96660">
        <w:t xml:space="preserve">Where </w:t>
      </w:r>
      <w:r w:rsidRPr="00C96660">
        <w:t>assessment of competency includes third-party evidence, individuals must provide evidence that links them to the electrical wiring and circuits that they have soldered, e.g. repair orders.</w:t>
      </w:r>
    </w:p>
    <w:p w:rsidR="00000000" w:rsidRPr="00C96660" w:rsidP="00915C08">
      <w:pPr>
        <w:pStyle w:val="BodyText"/>
      </w:pPr>
      <w:r w:rsidRPr="00C96660">
        <w:t xml:space="preserve">Assessors must verify performance evidence through questioning on </w:t>
      </w:r>
      <w:r w:rsidRPr="00C96660">
        <w:t>skills and knowledge to ensure correct interpretation and application.</w:t>
      </w:r>
    </w:p>
    <w:p w:rsidR="00000000" w:rsidRPr="00C96660" w:rsidP="00915C08">
      <w:pPr>
        <w:pStyle w:val="BodyText"/>
      </w:pPr>
      <w:r w:rsidRPr="00C96660">
        <w:t>The following resources must be made available:</w:t>
      </w:r>
    </w:p>
    <w:p w:rsidR="00000000" w:rsidRPr="00C96660" w:rsidP="00C96660">
      <w:pPr>
        <w:pStyle w:val="ListBullet"/>
      </w:pPr>
      <w:r w:rsidRPr="00C96660">
        <w:t>automotive repair workplace or simulated workplace</w:t>
      </w:r>
    </w:p>
    <w:p w:rsidR="00000000" w:rsidRPr="00C96660" w:rsidP="00C96660">
      <w:pPr>
        <w:pStyle w:val="ListBullet"/>
      </w:pPr>
      <w:r w:rsidRPr="00C96660">
        <w:t>workplace instructions</w:t>
      </w:r>
    </w:p>
    <w:p w:rsidR="00000000" w:rsidRPr="00C96660" w:rsidP="00C96660">
      <w:pPr>
        <w:pStyle w:val="ListBullet"/>
      </w:pPr>
      <w:r w:rsidRPr="00C96660">
        <w:t>six different electrical components requiring soldering of th</w:t>
      </w:r>
      <w:r w:rsidRPr="00C96660">
        <w:t>eir wiring</w:t>
      </w:r>
    </w:p>
    <w:p w:rsidR="00000000" w:rsidRPr="00C96660" w:rsidP="00C96660">
      <w:pPr>
        <w:pStyle w:val="ListBullet"/>
      </w:pPr>
      <w:r w:rsidRPr="00C96660">
        <w:t>tools, equipment and material appropriate for soldering electrical components, circuits and system wiring, including:</w:t>
      </w:r>
    </w:p>
    <w:p w:rsidR="00000000" w:rsidRPr="00C96660" w:rsidP="00C96660">
      <w:pPr>
        <w:pStyle w:val="ListBullet2"/>
      </w:pPr>
      <w:r w:rsidRPr="00C96660">
        <w:t>automotive wiring</w:t>
      </w:r>
    </w:p>
    <w:p w:rsidR="00000000" w:rsidRPr="00C96660" w:rsidP="00C96660">
      <w:pPr>
        <w:pStyle w:val="ListBullet2"/>
      </w:pPr>
      <w:r w:rsidRPr="00C96660">
        <w:t>range of electrical terminals</w:t>
      </w:r>
    </w:p>
    <w:p w:rsidR="00000000" w:rsidRPr="00C96660" w:rsidP="00C96660">
      <w:pPr>
        <w:pStyle w:val="ListBullet2"/>
      </w:pPr>
      <w:r w:rsidRPr="00C96660">
        <w:t>resin core solder</w:t>
      </w:r>
    </w:p>
    <w:p w:rsidR="00000000" w:rsidRPr="00C96660" w:rsidP="00C96660">
      <w:pPr>
        <w:pStyle w:val="ListBullet2"/>
      </w:pPr>
      <w:r w:rsidRPr="00C96660">
        <w:t>heat shrink sleeving</w:t>
      </w:r>
    </w:p>
    <w:p w:rsidR="00000000" w:rsidRPr="00C96660" w:rsidP="00C96660">
      <w:pPr>
        <w:pStyle w:val="ListBullet2"/>
      </w:pPr>
      <w:r w:rsidRPr="00C96660">
        <w:t>soldering iron.</w:t>
      </w:r>
    </w:p>
    <w:p w:rsidR="00000000" w:rsidRPr="00C96660" w:rsidP="00C96660">
      <w:pPr>
        <w:pStyle w:val="AllowPageBreak"/>
      </w:pPr>
    </w:p>
    <w:p w:rsidR="00000000" w:rsidRPr="00C96660" w:rsidP="00C96660">
      <w:pPr>
        <w:pStyle w:val="Heading1"/>
      </w:pPr>
      <w:bookmarkStart w:id="5" w:name="O_794459"/>
      <w:bookmarkEnd w:id="5"/>
      <w:r w:rsidRPr="00C96660">
        <w:t>Links</w:t>
      </w:r>
    </w:p>
    <w:p w:rsidR="00000000" w:rsidRPr="00C96660" w:rsidP="00915C08">
      <w:pPr>
        <w:pStyle w:val="BodyText"/>
      </w:pPr>
      <w:r w:rsidRPr="00C966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1A4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6660" w:rsidP="00915C08">
      <w:pPr>
        <w:pStyle w:val="BodyText"/>
      </w:pPr>
      <w:r w:rsidRPr="00C966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1A4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6660" w:rsidP="00C96660"/>
    <w:sectPr w:rsidSect="00C966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60" w:rsidRPr="00915C08" w:rsidP="00915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C08" w:rsidP="00C96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C08" w:rsidP="00C96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15C08" w:rsidP="00C96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660" w:rsidRPr="00915C08" w:rsidP="00915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C08" w:rsidRPr="002D2AF8" w:rsidP="00C96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AURETR006 Solder electrical wiring and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15C08" w:rsidP="00C96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3AA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41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28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660"/>
  </w:style>
  <w:style w:type="character" w:customStyle="1" w:styleId="Heading1Char">
    <w:name w:val="Heading 1 Char"/>
    <w:basedOn w:val="DefaultParagraphFont"/>
    <w:link w:val="Heading1"/>
    <w:rsid w:val="00C96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6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660"/>
    <w:rPr>
      <w:b/>
      <w:spacing w:val="0"/>
    </w:rPr>
  </w:style>
  <w:style w:type="paragraph" w:styleId="ListBullet2">
    <w:name w:val="List Bullet 2"/>
    <w:basedOn w:val="List2"/>
    <w:rsid w:val="00C966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6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660"/>
    <w:rPr>
      <w:i/>
    </w:rPr>
  </w:style>
  <w:style w:type="paragraph" w:styleId="Caption">
    <w:name w:val="caption"/>
    <w:basedOn w:val="BodyText"/>
    <w:next w:val="Normal"/>
    <w:qFormat/>
    <w:rsid w:val="00C96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660"/>
  </w:style>
  <w:style w:type="paragraph" w:styleId="TableofFigures">
    <w:name w:val="table of figures"/>
    <w:basedOn w:val="Normal"/>
    <w:next w:val="Normal"/>
    <w:semiHidden/>
    <w:rsid w:val="00C96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6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6660"/>
    <w:rPr>
      <w:rFonts w:ascii="Wingdings" w:hAnsi="Wingdings"/>
    </w:rPr>
  </w:style>
  <w:style w:type="paragraph" w:customStyle="1" w:styleId="TableHeading">
    <w:name w:val="Table Heading"/>
    <w:basedOn w:val="HeadingBase"/>
    <w:rsid w:val="00C96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660"/>
    <w:rPr>
      <w:color w:val="0033CC"/>
      <w:u w:val="none"/>
    </w:rPr>
  </w:style>
  <w:style w:type="paragraph" w:customStyle="1" w:styleId="BodyTextRight">
    <w:name w:val="Body Text Right"/>
    <w:basedOn w:val="BodyText"/>
    <w:rsid w:val="00C96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6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660"/>
    <w:rPr>
      <w:sz w:val="32"/>
    </w:rPr>
  </w:style>
  <w:style w:type="paragraph" w:customStyle="1" w:styleId="HeadingProcedure">
    <w:name w:val="Heading Procedure"/>
    <w:basedOn w:val="HeadingBase"/>
    <w:next w:val="Normal"/>
    <w:rsid w:val="00C96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660"/>
    <w:pPr>
      <w:spacing w:before="60" w:after="60"/>
    </w:pPr>
  </w:style>
  <w:style w:type="paragraph" w:styleId="ListContinue">
    <w:name w:val="List Continue"/>
    <w:basedOn w:val="List"/>
    <w:rsid w:val="00C96660"/>
    <w:pPr>
      <w:ind w:firstLine="0"/>
    </w:pPr>
  </w:style>
  <w:style w:type="paragraph" w:customStyle="1" w:styleId="ListNote">
    <w:name w:val="List Note"/>
    <w:basedOn w:val="List"/>
    <w:rsid w:val="00C96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660"/>
    <w:rPr>
      <w:rFonts w:ascii="Courier New" w:hAnsi="Courier New"/>
    </w:rPr>
  </w:style>
  <w:style w:type="paragraph" w:customStyle="1" w:styleId="NoteBullet">
    <w:name w:val="Note Bullet"/>
    <w:basedOn w:val="Note"/>
    <w:rsid w:val="00C96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6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660"/>
    <w:rPr>
      <w:b/>
      <w:smallCaps/>
    </w:rPr>
  </w:style>
  <w:style w:type="paragraph" w:customStyle="1" w:styleId="TableListNumber">
    <w:name w:val="Table List Number"/>
    <w:basedOn w:val="ListNumber"/>
    <w:rsid w:val="00C96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660"/>
    <w:pPr>
      <w:numPr>
        <w:numId w:val="9"/>
      </w:numPr>
    </w:pPr>
  </w:style>
  <w:style w:type="paragraph" w:customStyle="1" w:styleId="ListAlpha2">
    <w:name w:val="List Alpha 2"/>
    <w:basedOn w:val="List2"/>
    <w:rsid w:val="00C96660"/>
    <w:pPr>
      <w:numPr>
        <w:numId w:val="8"/>
      </w:numPr>
    </w:pPr>
  </w:style>
  <w:style w:type="paragraph" w:styleId="List2">
    <w:name w:val="List 2"/>
    <w:basedOn w:val="BodyText"/>
    <w:rsid w:val="00C96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6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6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6660"/>
    <w:pPr>
      <w:numPr>
        <w:numId w:val="4"/>
      </w:numPr>
    </w:pPr>
  </w:style>
  <w:style w:type="paragraph" w:styleId="ListContinue2">
    <w:name w:val="List Continue 2"/>
    <w:basedOn w:val="List2"/>
    <w:rsid w:val="00C96660"/>
    <w:pPr>
      <w:ind w:firstLine="0"/>
    </w:pPr>
  </w:style>
  <w:style w:type="paragraph" w:styleId="ListContinue3">
    <w:name w:val="List Continue 3"/>
    <w:basedOn w:val="List3"/>
    <w:rsid w:val="00C96660"/>
    <w:pPr>
      <w:ind w:left="1021" w:firstLine="0"/>
    </w:pPr>
  </w:style>
  <w:style w:type="paragraph" w:styleId="ListContinue4">
    <w:name w:val="List Continue 4"/>
    <w:basedOn w:val="List4"/>
    <w:rsid w:val="00C96660"/>
    <w:pPr>
      <w:ind w:firstLine="0"/>
    </w:pPr>
  </w:style>
  <w:style w:type="paragraph" w:styleId="ListContinue5">
    <w:name w:val="List Continue 5"/>
    <w:basedOn w:val="List5"/>
    <w:rsid w:val="00C96660"/>
    <w:pPr>
      <w:ind w:firstLine="0"/>
    </w:pPr>
  </w:style>
  <w:style w:type="paragraph" w:styleId="ListNumber3">
    <w:name w:val="List Number 3"/>
    <w:basedOn w:val="List3"/>
    <w:rsid w:val="00C96660"/>
    <w:pPr>
      <w:numPr>
        <w:numId w:val="5"/>
      </w:numPr>
    </w:pPr>
  </w:style>
  <w:style w:type="paragraph" w:styleId="ListNumber4">
    <w:name w:val="List Number 4"/>
    <w:basedOn w:val="List4"/>
    <w:rsid w:val="00C96660"/>
    <w:pPr>
      <w:numPr>
        <w:numId w:val="6"/>
      </w:numPr>
    </w:pPr>
  </w:style>
  <w:style w:type="paragraph" w:styleId="ListNumber5">
    <w:name w:val="List Number 5"/>
    <w:basedOn w:val="List5"/>
    <w:rsid w:val="00C96660"/>
    <w:pPr>
      <w:numPr>
        <w:numId w:val="7"/>
      </w:numPr>
    </w:pPr>
  </w:style>
  <w:style w:type="paragraph" w:styleId="BlockText">
    <w:name w:val="Block Text"/>
    <w:basedOn w:val="Normal"/>
    <w:rsid w:val="00C96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660"/>
    <w:rPr>
      <w:sz w:val="16"/>
      <w:vertAlign w:val="superscript"/>
    </w:rPr>
  </w:style>
  <w:style w:type="character" w:customStyle="1" w:styleId="Symbols">
    <w:name w:val="Symbols"/>
    <w:basedOn w:val="DefaultParagraphFont"/>
    <w:rsid w:val="00C96660"/>
    <w:rPr>
      <w:rFonts w:ascii="Symbol" w:hAnsi="Symbol"/>
    </w:rPr>
  </w:style>
  <w:style w:type="character" w:customStyle="1" w:styleId="MenuOptions">
    <w:name w:val="Menu Options"/>
    <w:basedOn w:val="DefaultParagraphFont"/>
    <w:rsid w:val="00C96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660"/>
    <w:rPr>
      <w:b/>
    </w:rPr>
  </w:style>
  <w:style w:type="character" w:customStyle="1" w:styleId="Underlined">
    <w:name w:val="Underlined"/>
    <w:basedOn w:val="DefaultParagraphFont"/>
    <w:rsid w:val="00C96660"/>
    <w:rPr>
      <w:u w:val="single"/>
    </w:rPr>
  </w:style>
  <w:style w:type="paragraph" w:customStyle="1" w:styleId="TableBodyTextRight">
    <w:name w:val="Table Body Text Right"/>
    <w:basedOn w:val="TableBodyText"/>
    <w:rsid w:val="00C96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660"/>
    <w:rPr>
      <w:sz w:val="18"/>
    </w:rPr>
  </w:style>
  <w:style w:type="paragraph" w:customStyle="1" w:styleId="BodySmallRight">
    <w:name w:val="Body Small Right"/>
    <w:basedOn w:val="BodyTextRight"/>
    <w:rsid w:val="00C96660"/>
    <w:rPr>
      <w:sz w:val="18"/>
      <w:szCs w:val="18"/>
    </w:rPr>
  </w:style>
  <w:style w:type="paragraph" w:customStyle="1" w:styleId="MarginEdition">
    <w:name w:val="Margin Edition"/>
    <w:basedOn w:val="MarginNote"/>
    <w:rsid w:val="00C96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660"/>
    <w:rPr>
      <w:sz w:val="2"/>
      <w:szCs w:val="2"/>
    </w:rPr>
  </w:style>
  <w:style w:type="character" w:customStyle="1" w:styleId="Small">
    <w:name w:val="Small"/>
    <w:basedOn w:val="DefaultParagraphFont"/>
    <w:rsid w:val="00C96660"/>
    <w:rPr>
      <w:sz w:val="16"/>
    </w:rPr>
  </w:style>
  <w:style w:type="paragraph" w:customStyle="1" w:styleId="WideTable">
    <w:name w:val="Wide Table"/>
    <w:basedOn w:val="Normal"/>
    <w:rsid w:val="00C96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660"/>
  </w:style>
  <w:style w:type="paragraph" w:styleId="Quote">
    <w:name w:val="Quote"/>
    <w:basedOn w:val="Heading1"/>
    <w:link w:val="QuoteChar"/>
    <w:qFormat/>
    <w:rsid w:val="00C96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660"/>
    <w:pPr>
      <w:pageBreakBefore/>
    </w:pPr>
  </w:style>
  <w:style w:type="paragraph" w:customStyle="1" w:styleId="Border">
    <w:name w:val="Border"/>
    <w:basedOn w:val="Normal"/>
    <w:qFormat/>
    <w:rsid w:val="00C96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660"/>
    <w:rPr>
      <w:u w:val="single"/>
    </w:rPr>
  </w:style>
  <w:style w:type="character" w:customStyle="1" w:styleId="BoldandItalics">
    <w:name w:val="Bold and Italics"/>
    <w:qFormat/>
    <w:rsid w:val="00C96660"/>
    <w:rPr>
      <w:b/>
      <w:i/>
      <w:u w:val="none"/>
    </w:rPr>
  </w:style>
  <w:style w:type="paragraph" w:styleId="BalloonText">
    <w:name w:val="Balloon Text"/>
    <w:basedOn w:val="Normal"/>
    <w:link w:val="BalloonTextChar"/>
    <w:rsid w:val="00C96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660"/>
    <w:pPr>
      <w:spacing w:before="0" w:after="0"/>
    </w:pPr>
  </w:style>
  <w:style w:type="paragraph" w:customStyle="1" w:styleId="BodyTextBold">
    <w:name w:val="Body Text Bold"/>
    <w:basedOn w:val="BodyText"/>
    <w:qFormat/>
    <w:rsid w:val="00C96660"/>
    <w:rPr>
      <w:b/>
    </w:rPr>
  </w:style>
  <w:style w:type="character" w:styleId="Hyperlink">
    <w:name w:val="Hyperlink"/>
    <w:basedOn w:val="DefaultParagraphFont"/>
    <w:uiPriority w:val="99"/>
    <w:unhideWhenUsed/>
    <w:rsid w:val="00915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3321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AURETR006 Solder electrical wiring and circuits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