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8E3" w:rsidP="007F1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AURETR004 Diagnose complex faults in convenience and entertainment systems</w:t>
      </w:r>
      <w:r>
        <w:fldChar w:fldCharType="end"/>
      </w:r>
    </w:p>
    <w:p w:rsidR="007F18E3" w:rsidP="007F18E3">
      <w:pPr>
        <w:pStyle w:val="Version"/>
        <w:sectPr w:rsidSect="00FD1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BB4" w:rsidP="00FD1BB4">
      <w:pPr>
        <w:pStyle w:val="SuperHeading"/>
      </w:pPr>
      <w:r w:rsidRPr="00FD1BB4">
        <w:t>Assessment Requirements for AURETR004 Diagnose complex faults in convenience and entertainment systems</w:t>
      </w:r>
    </w:p>
    <w:p w:rsidR="00000000" w:rsidRPr="00FD1BB4" w:rsidP="00FD1BB4">
      <w:pPr>
        <w:pStyle w:val="Heading1"/>
      </w:pPr>
      <w:bookmarkStart w:id="1" w:name="O_773666"/>
      <w:bookmarkEnd w:id="1"/>
      <w:r w:rsidRPr="00FD1BB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F18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B4" w:rsidP="00FD1BB4">
            <w:pPr>
              <w:pStyle w:val="BodyText"/>
            </w:pPr>
            <w:r w:rsidRPr="00FD1BB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B4">
            <w:pPr>
              <w:pStyle w:val="BodyText"/>
              <w:rPr>
                <w:lang w:val="en-NZ"/>
              </w:rPr>
            </w:pPr>
            <w:r w:rsidRPr="00FD1BB4">
              <w:rPr>
                <w:rStyle w:val="SpecialBold"/>
              </w:rPr>
              <w:t>Comment</w:t>
            </w:r>
          </w:p>
        </w:tc>
      </w:tr>
      <w:tr w:rsidTr="007F18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BB4">
            <w:pPr>
              <w:pStyle w:val="BodyText"/>
              <w:rPr>
                <w:lang w:val="en-NZ"/>
              </w:rPr>
            </w:pPr>
            <w:r w:rsidRPr="00FD1BB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BB4" w:rsidP="00FD1BB4">
            <w:pPr>
              <w:pStyle w:val="BodyText"/>
            </w:pPr>
            <w:r w:rsidRPr="00FD1BB4">
              <w:t>New unit of competency.</w:t>
            </w:r>
          </w:p>
        </w:tc>
      </w:tr>
    </w:tbl>
    <w:p w:rsidR="00000000" w:rsidRPr="00FD1BB4" w:rsidP="00FD1BB4">
      <w:pPr>
        <w:pStyle w:val="BodyText"/>
      </w:pPr>
    </w:p>
    <w:p w:rsidR="00000000" w:rsidRPr="00FD1BB4" w:rsidP="00FD1BB4">
      <w:pPr>
        <w:pStyle w:val="AllowPageBreak"/>
      </w:pPr>
    </w:p>
    <w:p w:rsidR="00000000" w:rsidRPr="00FD1BB4" w:rsidP="00FD1BB4">
      <w:pPr>
        <w:pStyle w:val="Heading1"/>
      </w:pPr>
      <w:bookmarkStart w:id="2" w:name="O_773667"/>
      <w:bookmarkEnd w:id="2"/>
      <w:r w:rsidRPr="00FD1BB4">
        <w:t>Performance Evidence</w:t>
      </w:r>
    </w:p>
    <w:p w:rsidR="00000000" w:rsidRPr="00FD1BB4" w:rsidP="007F18E3">
      <w:pPr>
        <w:pStyle w:val="BodyText"/>
      </w:pPr>
      <w:r w:rsidRPr="00FD1BB4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D1BB4" w:rsidP="00FD1BB4">
      <w:pPr>
        <w:pStyle w:val="ListBullet"/>
      </w:pPr>
      <w:r w:rsidRPr="00FD1BB4">
        <w:t>diagnose a complex fault in the co</w:t>
      </w:r>
      <w:r w:rsidRPr="00FD1BB4">
        <w:t>nvenience and entertainment systems of two different vehicles, vessels or machinery</w:t>
      </w:r>
    </w:p>
    <w:p w:rsidR="00000000" w:rsidRPr="00FD1BB4" w:rsidP="00FD1BB4">
      <w:pPr>
        <w:pStyle w:val="ListBullet"/>
      </w:pPr>
      <w:r w:rsidRPr="00FD1BB4">
        <w:t>the above diagnosis must involve two of the following types of complex faults:</w:t>
      </w:r>
    </w:p>
    <w:p w:rsidR="00000000" w:rsidRPr="00FD1BB4" w:rsidP="00FD1BB4">
      <w:pPr>
        <w:pStyle w:val="ListBullet2"/>
      </w:pPr>
      <w:r w:rsidRPr="00FD1BB4">
        <w:t>an intermittent fault</w:t>
      </w:r>
    </w:p>
    <w:p w:rsidR="00000000" w:rsidRPr="00FD1BB4" w:rsidP="00FD1BB4">
      <w:pPr>
        <w:pStyle w:val="ListBullet2"/>
      </w:pPr>
      <w:r w:rsidRPr="00FD1BB4">
        <w:t>a fault that affects more than one system</w:t>
      </w:r>
    </w:p>
    <w:p w:rsidR="00000000" w:rsidRPr="00FD1BB4" w:rsidP="00FD1BB4">
      <w:pPr>
        <w:pStyle w:val="ListBullet2"/>
      </w:pPr>
      <w:r w:rsidRPr="00FD1BB4">
        <w:t>a fault introduced as a result of a system repair</w:t>
      </w:r>
    </w:p>
    <w:p w:rsidR="00000000" w:rsidRPr="00FD1BB4" w:rsidP="00FD1BB4">
      <w:pPr>
        <w:pStyle w:val="ListBullet2"/>
      </w:pPr>
      <w:r w:rsidRPr="00FD1BB4">
        <w:t xml:space="preserve">an indirect fault caused by the influence of external systems. </w:t>
      </w:r>
    </w:p>
    <w:p w:rsidR="00000000" w:rsidRPr="00FD1BB4" w:rsidP="00FD1BB4">
      <w:pPr>
        <w:pStyle w:val="AllowPageBreak"/>
      </w:pPr>
    </w:p>
    <w:p w:rsidR="00000000" w:rsidRPr="00FD1BB4" w:rsidP="00FD1BB4">
      <w:pPr>
        <w:pStyle w:val="Heading1"/>
      </w:pPr>
      <w:bookmarkStart w:id="3" w:name="O_773668"/>
      <w:bookmarkEnd w:id="3"/>
      <w:r w:rsidRPr="00FD1BB4">
        <w:t>Knowledge Evidence</w:t>
      </w:r>
    </w:p>
    <w:p w:rsidR="00000000" w:rsidRPr="00FD1BB4" w:rsidP="007F18E3">
      <w:pPr>
        <w:pStyle w:val="BodyText"/>
      </w:pPr>
      <w:r w:rsidRPr="00FD1BB4">
        <w:t>Individuals must be able to demonstrate knowledge of:</w:t>
      </w:r>
    </w:p>
    <w:p w:rsidR="00000000" w:rsidRPr="00FD1BB4" w:rsidP="00FD1BB4">
      <w:pPr>
        <w:pStyle w:val="ListBullet"/>
      </w:pPr>
      <w:r w:rsidRPr="00FD1BB4">
        <w:t>work health and safety (WHS) and occupational healt</w:t>
      </w:r>
      <w:r w:rsidRPr="00FD1BB4">
        <w:t>h and safety (OHS) requirements relating to diagnosing complex faults in vehicle convenience and entertainment systems, including procedures for identifying hazards and controlling risks associated with:</w:t>
      </w:r>
    </w:p>
    <w:p w:rsidR="00000000" w:rsidRPr="00FD1BB4" w:rsidP="00FD1BB4">
      <w:pPr>
        <w:pStyle w:val="ListBullet2"/>
      </w:pPr>
      <w:r w:rsidRPr="00FD1BB4">
        <w:t>working around vehicle supplementary restraint syst</w:t>
      </w:r>
      <w:r w:rsidRPr="00FD1BB4">
        <w:t>ems (SRS), including airbags</w:t>
      </w:r>
    </w:p>
    <w:p w:rsidR="00000000" w:rsidRPr="00FD1BB4" w:rsidP="00FD1BB4">
      <w:pPr>
        <w:pStyle w:val="ListBullet2"/>
      </w:pPr>
      <w:r w:rsidRPr="00FD1BB4">
        <w:t>wearing jewellery while working around high electrical currents</w:t>
      </w:r>
    </w:p>
    <w:p w:rsidR="00000000" w:rsidRPr="00FD1BB4" w:rsidP="00FD1BB4">
      <w:pPr>
        <w:pStyle w:val="ListBullet"/>
      </w:pPr>
      <w:r w:rsidRPr="00FD1BB4">
        <w:t>types of complex faults relating to vehicle convenience and entertainment systems, including:</w:t>
      </w:r>
    </w:p>
    <w:p w:rsidR="00000000" w:rsidRPr="00FD1BB4" w:rsidP="00FD1BB4">
      <w:pPr>
        <w:pStyle w:val="ListBullet2"/>
      </w:pPr>
      <w:r w:rsidRPr="00FD1BB4">
        <w:t>intermittent</w:t>
      </w:r>
    </w:p>
    <w:p w:rsidR="00000000" w:rsidRPr="00FD1BB4" w:rsidP="00FD1BB4">
      <w:pPr>
        <w:pStyle w:val="ListBullet2"/>
      </w:pPr>
      <w:r w:rsidRPr="00FD1BB4">
        <w:t>multi-system</w:t>
      </w:r>
    </w:p>
    <w:p w:rsidR="00000000" w:rsidRPr="00FD1BB4" w:rsidP="00FD1BB4">
      <w:pPr>
        <w:pStyle w:val="ListBullet2"/>
      </w:pPr>
      <w:r w:rsidRPr="00FD1BB4">
        <w:t>introduced as a result of system repair</w:t>
      </w:r>
    </w:p>
    <w:p w:rsidR="00000000" w:rsidRPr="00FD1BB4" w:rsidP="00FD1BB4">
      <w:pPr>
        <w:pStyle w:val="ListBullet2"/>
      </w:pPr>
      <w:r w:rsidRPr="00FD1BB4">
        <w:t>indirect, caused by the influence of external systems</w:t>
      </w:r>
    </w:p>
    <w:p w:rsidR="00000000" w:rsidRPr="00FD1BB4" w:rsidP="00FD1BB4">
      <w:pPr>
        <w:pStyle w:val="ListBullet"/>
      </w:pPr>
      <w:r w:rsidRPr="00FD1BB4">
        <w:t>methods for locating and content of manufacturer specifications, workplace procedures, and other technical information relating to vehicle, vessel or machinery convenience and entertainment systems</w:t>
      </w:r>
    </w:p>
    <w:p w:rsidR="00000000" w:rsidRPr="00FD1BB4" w:rsidP="00FD1BB4">
      <w:pPr>
        <w:pStyle w:val="ListBullet"/>
      </w:pPr>
      <w:r w:rsidRPr="00FD1BB4">
        <w:t>typ</w:t>
      </w:r>
      <w:r w:rsidRPr="00FD1BB4">
        <w:t>es, function and operation of convenience and entertainment systems in vehicles, vessels or machinery, including:</w:t>
      </w:r>
    </w:p>
    <w:p w:rsidR="00000000" w:rsidRPr="00FD1BB4" w:rsidP="00FD1BB4">
      <w:pPr>
        <w:pStyle w:val="ListBullet2"/>
      </w:pPr>
      <w:r w:rsidRPr="00FD1BB4">
        <w:t>infotainment systems</w:t>
      </w:r>
    </w:p>
    <w:p w:rsidR="00000000" w:rsidRPr="00FD1BB4" w:rsidP="00FD1BB4">
      <w:pPr>
        <w:pStyle w:val="ListBullet2"/>
      </w:pPr>
      <w:r w:rsidRPr="00FD1BB4">
        <w:t>telematics systems</w:t>
      </w:r>
    </w:p>
    <w:p w:rsidR="00000000" w:rsidRPr="00FD1BB4" w:rsidP="00FD1BB4">
      <w:pPr>
        <w:pStyle w:val="ListBullet2"/>
      </w:pPr>
      <w:r w:rsidRPr="00FD1BB4">
        <w:t>intelligent transport systems</w:t>
      </w:r>
    </w:p>
    <w:p w:rsidR="00000000" w:rsidRPr="00FD1BB4" w:rsidP="00FD1BB4">
      <w:pPr>
        <w:pStyle w:val="ListBullet2"/>
      </w:pPr>
      <w:r w:rsidRPr="00FD1BB4">
        <w:t>safety restraint systems</w:t>
      </w:r>
    </w:p>
    <w:p w:rsidR="00000000" w:rsidRPr="00FD1BB4" w:rsidP="00FD1BB4">
      <w:pPr>
        <w:pStyle w:val="ListBullet2"/>
      </w:pPr>
      <w:r w:rsidRPr="00FD1BB4">
        <w:t>passenger comfort systems</w:t>
      </w:r>
    </w:p>
    <w:p w:rsidR="00000000" w:rsidRPr="00FD1BB4" w:rsidP="00FD1BB4">
      <w:pPr>
        <w:pStyle w:val="ListBullet"/>
      </w:pPr>
      <w:r w:rsidRPr="00FD1BB4">
        <w:t xml:space="preserve">testing procedures </w:t>
      </w:r>
      <w:r w:rsidRPr="00FD1BB4">
        <w:t>for vehicle convenience and entertainment systems, including:</w:t>
      </w:r>
    </w:p>
    <w:p w:rsidR="00000000" w:rsidRPr="00FD1BB4" w:rsidP="00FD1BB4">
      <w:pPr>
        <w:pStyle w:val="ListBullet2"/>
      </w:pPr>
      <w:r w:rsidRPr="00FD1BB4">
        <w:t>using digital multimeter, scan tool and oscilloscope</w:t>
      </w:r>
    </w:p>
    <w:p w:rsidR="00000000" w:rsidRPr="00FD1BB4" w:rsidP="00FD1BB4">
      <w:pPr>
        <w:pStyle w:val="ListBullet2"/>
      </w:pPr>
      <w:r w:rsidRPr="00FD1BB4">
        <w:t>component wear analysis</w:t>
      </w:r>
    </w:p>
    <w:p w:rsidR="00000000" w:rsidRPr="00FD1BB4" w:rsidP="00FD1BB4">
      <w:pPr>
        <w:pStyle w:val="ListBullet2"/>
      </w:pPr>
      <w:r w:rsidRPr="00FD1BB4">
        <w:t>system operation analysis</w:t>
      </w:r>
    </w:p>
    <w:p w:rsidR="00000000" w:rsidRPr="00FD1BB4" w:rsidP="00FD1BB4">
      <w:pPr>
        <w:pStyle w:val="ListBullet2"/>
      </w:pPr>
      <w:r w:rsidRPr="00FD1BB4">
        <w:t>vehicle continuous and non-continuous monitored systems</w:t>
      </w:r>
    </w:p>
    <w:p w:rsidR="00000000" w:rsidRPr="00FD1BB4" w:rsidP="00FD1BB4">
      <w:pPr>
        <w:pStyle w:val="ListBullet"/>
      </w:pPr>
      <w:r w:rsidRPr="00FD1BB4">
        <w:t>types, functions, operation and l</w:t>
      </w:r>
      <w:r w:rsidRPr="00FD1BB4">
        <w:t>imitations of diagnostic testing equipment required to diagnose complex faults in vehicle convenience and entertainment systems</w:t>
      </w:r>
    </w:p>
    <w:p w:rsidR="00000000" w:rsidRPr="00FD1BB4" w:rsidP="00FD1BB4">
      <w:pPr>
        <w:pStyle w:val="ListBullet"/>
      </w:pPr>
      <w:r w:rsidRPr="00FD1BB4">
        <w:t>procedures for accessing and interpreting scan tool system data, including:</w:t>
      </w:r>
    </w:p>
    <w:p w:rsidR="00000000" w:rsidRPr="00FD1BB4" w:rsidP="00FD1BB4">
      <w:pPr>
        <w:pStyle w:val="ListBullet2"/>
      </w:pPr>
      <w:r w:rsidRPr="00FD1BB4">
        <w:t>diagnostic trouble codes (DTCs), including:</w:t>
      </w:r>
    </w:p>
    <w:p w:rsidR="00000000" w:rsidRPr="00FD1BB4" w:rsidP="00FD1BB4">
      <w:pPr>
        <w:pStyle w:val="ListBullet3"/>
      </w:pPr>
      <w:r w:rsidRPr="00FD1BB4">
        <w:t>conditions that set the DTCs</w:t>
      </w:r>
    </w:p>
    <w:p w:rsidR="00000000" w:rsidRPr="00FD1BB4" w:rsidP="00FD1BB4">
      <w:pPr>
        <w:pStyle w:val="ListBullet3"/>
      </w:pPr>
      <w:r w:rsidRPr="00FD1BB4">
        <w:t>conditions for running DTCs</w:t>
      </w:r>
    </w:p>
    <w:p w:rsidR="00000000" w:rsidRPr="00FD1BB4" w:rsidP="00FD1BB4">
      <w:pPr>
        <w:pStyle w:val="ListBullet2"/>
      </w:pPr>
      <w:r w:rsidRPr="00FD1BB4">
        <w:t>live data</w:t>
      </w:r>
    </w:p>
    <w:p w:rsidR="00000000" w:rsidRPr="00FD1BB4" w:rsidP="00FD1BB4">
      <w:pPr>
        <w:pStyle w:val="ListBullet2"/>
      </w:pPr>
      <w:r w:rsidRPr="00FD1BB4">
        <w:t>freeze frame data</w:t>
      </w:r>
    </w:p>
    <w:p w:rsidR="00000000" w:rsidRPr="00FD1BB4" w:rsidP="00FD1BB4">
      <w:pPr>
        <w:pStyle w:val="ListBullet2"/>
      </w:pPr>
      <w:r w:rsidRPr="00FD1BB4">
        <w:t>waveforms</w:t>
      </w:r>
    </w:p>
    <w:p w:rsidR="00000000" w:rsidRPr="00FD1BB4" w:rsidP="00FD1BB4">
      <w:pPr>
        <w:pStyle w:val="ListBullet"/>
      </w:pPr>
      <w:r w:rsidRPr="00FD1BB4">
        <w:t>methods and processes for documenting and reporting diagnostic findings and recommendation.</w:t>
      </w:r>
    </w:p>
    <w:p w:rsidR="00000000" w:rsidRPr="00FD1BB4" w:rsidP="00FD1BB4">
      <w:pPr>
        <w:pStyle w:val="AllowPageBreak"/>
      </w:pPr>
    </w:p>
    <w:p w:rsidR="00000000" w:rsidRPr="00FD1BB4" w:rsidP="00FD1BB4">
      <w:pPr>
        <w:pStyle w:val="Heading1"/>
      </w:pPr>
      <w:bookmarkStart w:id="4" w:name="O_773669"/>
      <w:bookmarkEnd w:id="4"/>
      <w:r w:rsidRPr="00FD1BB4">
        <w:t>Assessment Conditions</w:t>
      </w:r>
    </w:p>
    <w:p w:rsidR="00000000" w:rsidRPr="00FD1BB4" w:rsidP="007F18E3">
      <w:pPr>
        <w:pStyle w:val="BodyText"/>
      </w:pPr>
      <w:r w:rsidRPr="00FD1BB4">
        <w:t>Assessors must satisfy NVR/AQTF assessor requirements.</w:t>
      </w:r>
    </w:p>
    <w:p w:rsidR="00000000" w:rsidRPr="00FD1BB4" w:rsidP="007F18E3">
      <w:pPr>
        <w:pStyle w:val="BodyText"/>
      </w:pPr>
      <w:r w:rsidRPr="00FD1BB4">
        <w:t>Competency is to be assessed in the workplace or a simulated environment that accurately reflects performance in a real workplace setting.</w:t>
      </w:r>
    </w:p>
    <w:p w:rsidR="00000000" w:rsidRPr="00FD1BB4" w:rsidP="007F18E3">
      <w:pPr>
        <w:pStyle w:val="BodyText"/>
      </w:pPr>
      <w:r w:rsidRPr="00FD1BB4">
        <w:t>Assessment must include direct observation of tasks.</w:t>
      </w:r>
    </w:p>
    <w:p w:rsidR="00000000" w:rsidRPr="00FD1BB4" w:rsidP="007F18E3">
      <w:pPr>
        <w:pStyle w:val="BodyText"/>
      </w:pPr>
      <w:r w:rsidRPr="00FD1BB4">
        <w:t xml:space="preserve">Where </w:t>
      </w:r>
      <w:r w:rsidRPr="00FD1BB4">
        <w:t>assessment of competency includes third-party evidence, individuals must provide evidence that links them to the convenience and entertainment systems that they have worked on, e.g. repair orders.</w:t>
      </w:r>
    </w:p>
    <w:p w:rsidR="00000000" w:rsidRPr="00FD1BB4" w:rsidP="007F18E3">
      <w:pPr>
        <w:pStyle w:val="BodyText"/>
      </w:pPr>
      <w:r w:rsidRPr="00FD1BB4">
        <w:t>Assessors must verify performance evidence through questio</w:t>
      </w:r>
      <w:r w:rsidRPr="00FD1BB4">
        <w:t>ning on skills and knowledge to ensure correct interpretation and application.</w:t>
      </w:r>
    </w:p>
    <w:p w:rsidR="00000000" w:rsidRPr="00FD1BB4" w:rsidP="007F18E3">
      <w:pPr>
        <w:pStyle w:val="BodyText"/>
      </w:pPr>
      <w:r w:rsidRPr="00FD1BB4">
        <w:t>The following resources must be made available:</w:t>
      </w:r>
    </w:p>
    <w:p w:rsidR="00000000" w:rsidRPr="00FD1BB4" w:rsidP="00FD1BB4">
      <w:pPr>
        <w:pStyle w:val="ListBullet"/>
      </w:pPr>
      <w:r w:rsidRPr="00FD1BB4">
        <w:t>automotive repair workplace or simulated workplace</w:t>
      </w:r>
    </w:p>
    <w:p w:rsidR="00000000" w:rsidRPr="00FD1BB4" w:rsidP="00FD1BB4">
      <w:pPr>
        <w:pStyle w:val="ListBullet"/>
      </w:pPr>
      <w:r w:rsidRPr="00FD1BB4">
        <w:t>workplace instructions</w:t>
      </w:r>
    </w:p>
    <w:p w:rsidR="00000000" w:rsidRPr="00FD1BB4" w:rsidP="00FD1BB4">
      <w:pPr>
        <w:pStyle w:val="ListBullet"/>
      </w:pPr>
      <w:r w:rsidRPr="00FD1BB4">
        <w:t>manufacturer convenience and entert</w:t>
      </w:r>
      <w:r w:rsidRPr="00FD1BB4">
        <w:t>ainment system specifications</w:t>
      </w:r>
    </w:p>
    <w:p w:rsidR="00000000" w:rsidRPr="00FD1BB4" w:rsidP="00FD1BB4">
      <w:pPr>
        <w:pStyle w:val="ListBullet"/>
      </w:pPr>
      <w:r w:rsidRPr="00FD1BB4">
        <w:t>two different vehicles, vessels or machinery with complex faults in their convenience and entertainment systems</w:t>
      </w:r>
    </w:p>
    <w:p w:rsidR="00000000" w:rsidRPr="00FD1BB4" w:rsidP="00FD1BB4">
      <w:pPr>
        <w:pStyle w:val="ListBullet"/>
      </w:pPr>
      <w:r w:rsidRPr="00FD1BB4">
        <w:t>convenience and entertainment system electrical and electronic system diagnostic equipment, including:</w:t>
      </w:r>
    </w:p>
    <w:p w:rsidR="00000000" w:rsidRPr="00FD1BB4" w:rsidP="00FD1BB4">
      <w:pPr>
        <w:pStyle w:val="ListBullet2"/>
      </w:pPr>
      <w:r w:rsidRPr="00FD1BB4">
        <w:t>digital mu</w:t>
      </w:r>
      <w:r w:rsidRPr="00FD1BB4">
        <w:t>ltimeter</w:t>
      </w:r>
    </w:p>
    <w:p w:rsidR="00000000" w:rsidRPr="00FD1BB4" w:rsidP="00FD1BB4">
      <w:pPr>
        <w:pStyle w:val="ListBullet2"/>
      </w:pPr>
      <w:r w:rsidRPr="00FD1BB4">
        <w:t>scan tool</w:t>
      </w:r>
    </w:p>
    <w:p w:rsidR="00000000" w:rsidRPr="00FD1BB4" w:rsidP="00FD1BB4">
      <w:pPr>
        <w:pStyle w:val="ListBullet"/>
      </w:pPr>
      <w:r w:rsidRPr="00FD1BB4">
        <w:t>tools, equipment and materials appropriate for diagnosing complex faults in convenience and entertainment systems.</w:t>
      </w:r>
    </w:p>
    <w:p w:rsidR="00000000" w:rsidRPr="00FD1BB4" w:rsidP="00FD1BB4">
      <w:pPr>
        <w:pStyle w:val="AllowPageBreak"/>
      </w:pPr>
    </w:p>
    <w:p w:rsidR="00000000" w:rsidRPr="00FD1BB4" w:rsidP="00FD1BB4">
      <w:pPr>
        <w:pStyle w:val="Heading1"/>
      </w:pPr>
      <w:bookmarkStart w:id="5" w:name="O_773672"/>
      <w:bookmarkEnd w:id="5"/>
      <w:r w:rsidRPr="00FD1BB4">
        <w:t>Links</w:t>
      </w:r>
    </w:p>
    <w:p w:rsidR="00000000" w:rsidRPr="00FD1BB4" w:rsidP="007F18E3">
      <w:pPr>
        <w:pStyle w:val="BodyText"/>
      </w:pPr>
      <w:r w:rsidRPr="00FD1B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C261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D1BB4" w:rsidP="007F18E3">
      <w:pPr>
        <w:pStyle w:val="BodyText"/>
      </w:pPr>
      <w:r w:rsidRPr="00FD1B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C261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D1BB4" w:rsidP="00FD1BB4"/>
    <w:sectPr w:rsidSect="00FD1B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B4" w:rsidRPr="007F18E3" w:rsidP="007F1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E3" w:rsidP="00FD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8E3" w:rsidP="00FD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18E3" w:rsidP="00FD1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BB4" w:rsidRPr="007F18E3" w:rsidP="007F1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E3" w:rsidRPr="002D2AF8" w:rsidP="00FD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AURETR004 Diagnose complex faults in convenience and entertainment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F18E3" w:rsidP="00FD1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5C7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EB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C2D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BB4"/>
  </w:style>
  <w:style w:type="character" w:customStyle="1" w:styleId="Heading1Char">
    <w:name w:val="Heading 1 Char"/>
    <w:basedOn w:val="DefaultParagraphFont"/>
    <w:link w:val="Heading1"/>
    <w:rsid w:val="00FD1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BB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BB4"/>
    <w:rPr>
      <w:b/>
      <w:spacing w:val="0"/>
    </w:rPr>
  </w:style>
  <w:style w:type="paragraph" w:styleId="ListBullet2">
    <w:name w:val="List Bullet 2"/>
    <w:basedOn w:val="List2"/>
    <w:rsid w:val="00FD1BB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1B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1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B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BB4"/>
    <w:rPr>
      <w:i/>
    </w:rPr>
  </w:style>
  <w:style w:type="paragraph" w:styleId="Caption">
    <w:name w:val="caption"/>
    <w:basedOn w:val="BodyText"/>
    <w:next w:val="Normal"/>
    <w:qFormat/>
    <w:rsid w:val="00FD1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BB4"/>
  </w:style>
  <w:style w:type="paragraph" w:styleId="TableofFigures">
    <w:name w:val="table of figures"/>
    <w:basedOn w:val="Normal"/>
    <w:next w:val="Normal"/>
    <w:semiHidden/>
    <w:rsid w:val="00FD1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BB4"/>
    <w:pPr>
      <w:numPr>
        <w:numId w:val="12"/>
      </w:numPr>
    </w:pPr>
  </w:style>
  <w:style w:type="character" w:customStyle="1" w:styleId="WingdingSymbols">
    <w:name w:val="Wingding Symbols"/>
    <w:rsid w:val="00FD1BB4"/>
    <w:rPr>
      <w:rFonts w:ascii="Wingdings" w:hAnsi="Wingdings"/>
    </w:rPr>
  </w:style>
  <w:style w:type="paragraph" w:customStyle="1" w:styleId="TableHeading">
    <w:name w:val="Table Heading"/>
    <w:basedOn w:val="HeadingBase"/>
    <w:rsid w:val="00FD1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BB4"/>
    <w:rPr>
      <w:color w:val="0033CC"/>
      <w:u w:val="none"/>
    </w:rPr>
  </w:style>
  <w:style w:type="paragraph" w:customStyle="1" w:styleId="BodyTextRight">
    <w:name w:val="Body Text Right"/>
    <w:basedOn w:val="BodyText"/>
    <w:rsid w:val="00FD1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B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BB4"/>
    <w:rPr>
      <w:sz w:val="32"/>
    </w:rPr>
  </w:style>
  <w:style w:type="paragraph" w:customStyle="1" w:styleId="HeadingProcedure">
    <w:name w:val="Heading Procedure"/>
    <w:basedOn w:val="HeadingBase"/>
    <w:next w:val="Normal"/>
    <w:rsid w:val="00FD1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BB4"/>
    <w:pPr>
      <w:spacing w:before="60" w:after="60"/>
    </w:pPr>
  </w:style>
  <w:style w:type="paragraph" w:styleId="ListContinue">
    <w:name w:val="List Continue"/>
    <w:basedOn w:val="List"/>
    <w:rsid w:val="00FD1BB4"/>
    <w:pPr>
      <w:ind w:firstLine="0"/>
    </w:pPr>
  </w:style>
  <w:style w:type="paragraph" w:customStyle="1" w:styleId="ListNote">
    <w:name w:val="List Note"/>
    <w:basedOn w:val="List"/>
    <w:rsid w:val="00FD1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BB4"/>
    <w:rPr>
      <w:rFonts w:ascii="Courier New" w:hAnsi="Courier New"/>
    </w:rPr>
  </w:style>
  <w:style w:type="paragraph" w:customStyle="1" w:styleId="NoteBullet">
    <w:name w:val="Note Bullet"/>
    <w:basedOn w:val="Note"/>
    <w:rsid w:val="00FD1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BB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D1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BB4"/>
    <w:rPr>
      <w:b/>
      <w:smallCaps/>
    </w:rPr>
  </w:style>
  <w:style w:type="paragraph" w:customStyle="1" w:styleId="TableListNumber">
    <w:name w:val="Table List Number"/>
    <w:basedOn w:val="ListNumber"/>
    <w:rsid w:val="00FD1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BB4"/>
    <w:pPr>
      <w:numPr>
        <w:numId w:val="10"/>
      </w:numPr>
    </w:pPr>
  </w:style>
  <w:style w:type="paragraph" w:customStyle="1" w:styleId="ListAlpha2">
    <w:name w:val="List Alpha 2"/>
    <w:basedOn w:val="List2"/>
    <w:rsid w:val="00FD1BB4"/>
    <w:pPr>
      <w:numPr>
        <w:numId w:val="9"/>
      </w:numPr>
    </w:pPr>
  </w:style>
  <w:style w:type="paragraph" w:styleId="List2">
    <w:name w:val="List 2"/>
    <w:basedOn w:val="BodyText"/>
    <w:rsid w:val="00FD1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B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1B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1BB4"/>
    <w:pPr>
      <w:numPr>
        <w:numId w:val="5"/>
      </w:numPr>
    </w:pPr>
  </w:style>
  <w:style w:type="paragraph" w:styleId="ListContinue2">
    <w:name w:val="List Continue 2"/>
    <w:basedOn w:val="List2"/>
    <w:rsid w:val="00FD1BB4"/>
    <w:pPr>
      <w:ind w:firstLine="0"/>
    </w:pPr>
  </w:style>
  <w:style w:type="paragraph" w:styleId="ListContinue3">
    <w:name w:val="List Continue 3"/>
    <w:basedOn w:val="List3"/>
    <w:rsid w:val="00FD1BB4"/>
    <w:pPr>
      <w:ind w:left="1021" w:firstLine="0"/>
    </w:pPr>
  </w:style>
  <w:style w:type="paragraph" w:styleId="ListContinue4">
    <w:name w:val="List Continue 4"/>
    <w:basedOn w:val="List4"/>
    <w:rsid w:val="00FD1BB4"/>
    <w:pPr>
      <w:ind w:firstLine="0"/>
    </w:pPr>
  </w:style>
  <w:style w:type="paragraph" w:styleId="ListContinue5">
    <w:name w:val="List Continue 5"/>
    <w:basedOn w:val="List5"/>
    <w:rsid w:val="00FD1BB4"/>
    <w:pPr>
      <w:ind w:firstLine="0"/>
    </w:pPr>
  </w:style>
  <w:style w:type="paragraph" w:styleId="ListNumber3">
    <w:name w:val="List Number 3"/>
    <w:basedOn w:val="List3"/>
    <w:rsid w:val="00FD1BB4"/>
    <w:pPr>
      <w:numPr>
        <w:numId w:val="6"/>
      </w:numPr>
    </w:pPr>
  </w:style>
  <w:style w:type="paragraph" w:styleId="ListNumber4">
    <w:name w:val="List Number 4"/>
    <w:basedOn w:val="List4"/>
    <w:rsid w:val="00FD1BB4"/>
    <w:pPr>
      <w:numPr>
        <w:numId w:val="7"/>
      </w:numPr>
    </w:pPr>
  </w:style>
  <w:style w:type="paragraph" w:styleId="ListNumber5">
    <w:name w:val="List Number 5"/>
    <w:basedOn w:val="List5"/>
    <w:rsid w:val="00FD1BB4"/>
    <w:pPr>
      <w:numPr>
        <w:numId w:val="8"/>
      </w:numPr>
    </w:pPr>
  </w:style>
  <w:style w:type="paragraph" w:styleId="BlockText">
    <w:name w:val="Block Text"/>
    <w:basedOn w:val="Normal"/>
    <w:rsid w:val="00FD1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BB4"/>
    <w:rPr>
      <w:sz w:val="16"/>
      <w:vertAlign w:val="superscript"/>
    </w:rPr>
  </w:style>
  <w:style w:type="character" w:customStyle="1" w:styleId="Symbols">
    <w:name w:val="Symbols"/>
    <w:basedOn w:val="DefaultParagraphFont"/>
    <w:rsid w:val="00FD1BB4"/>
    <w:rPr>
      <w:rFonts w:ascii="Symbol" w:hAnsi="Symbol"/>
    </w:rPr>
  </w:style>
  <w:style w:type="character" w:customStyle="1" w:styleId="MenuOptions">
    <w:name w:val="Menu Options"/>
    <w:basedOn w:val="DefaultParagraphFont"/>
    <w:rsid w:val="00FD1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BB4"/>
    <w:rPr>
      <w:b/>
    </w:rPr>
  </w:style>
  <w:style w:type="character" w:customStyle="1" w:styleId="Underlined">
    <w:name w:val="Underlined"/>
    <w:basedOn w:val="DefaultParagraphFont"/>
    <w:rsid w:val="00FD1BB4"/>
    <w:rPr>
      <w:u w:val="single"/>
    </w:rPr>
  </w:style>
  <w:style w:type="paragraph" w:customStyle="1" w:styleId="TableBodyTextRight">
    <w:name w:val="Table Body Text Right"/>
    <w:basedOn w:val="TableBodyText"/>
    <w:rsid w:val="00FD1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BB4"/>
    <w:rPr>
      <w:sz w:val="18"/>
    </w:rPr>
  </w:style>
  <w:style w:type="paragraph" w:customStyle="1" w:styleId="BodySmallRight">
    <w:name w:val="Body Small Right"/>
    <w:basedOn w:val="BodyTextRight"/>
    <w:rsid w:val="00FD1BB4"/>
    <w:rPr>
      <w:sz w:val="18"/>
      <w:szCs w:val="18"/>
    </w:rPr>
  </w:style>
  <w:style w:type="paragraph" w:customStyle="1" w:styleId="MarginEdition">
    <w:name w:val="Margin Edition"/>
    <w:basedOn w:val="MarginNote"/>
    <w:rsid w:val="00FD1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BB4"/>
    <w:rPr>
      <w:sz w:val="2"/>
      <w:szCs w:val="2"/>
    </w:rPr>
  </w:style>
  <w:style w:type="character" w:customStyle="1" w:styleId="Small">
    <w:name w:val="Small"/>
    <w:basedOn w:val="DefaultParagraphFont"/>
    <w:rsid w:val="00FD1BB4"/>
    <w:rPr>
      <w:sz w:val="16"/>
    </w:rPr>
  </w:style>
  <w:style w:type="paragraph" w:customStyle="1" w:styleId="WideTable">
    <w:name w:val="Wide Table"/>
    <w:basedOn w:val="Normal"/>
    <w:rsid w:val="00FD1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BB4"/>
  </w:style>
  <w:style w:type="paragraph" w:styleId="Quote">
    <w:name w:val="Quote"/>
    <w:basedOn w:val="Heading1"/>
    <w:link w:val="QuoteChar"/>
    <w:qFormat/>
    <w:rsid w:val="00FD1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BB4"/>
    <w:pPr>
      <w:pageBreakBefore/>
    </w:pPr>
  </w:style>
  <w:style w:type="paragraph" w:customStyle="1" w:styleId="Border">
    <w:name w:val="Border"/>
    <w:basedOn w:val="Normal"/>
    <w:qFormat/>
    <w:rsid w:val="00FD1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BB4"/>
    <w:rPr>
      <w:u w:val="single"/>
    </w:rPr>
  </w:style>
  <w:style w:type="character" w:customStyle="1" w:styleId="BoldandItalics">
    <w:name w:val="Bold and Italics"/>
    <w:qFormat/>
    <w:rsid w:val="00FD1BB4"/>
    <w:rPr>
      <w:b/>
      <w:i/>
      <w:u w:val="none"/>
    </w:rPr>
  </w:style>
  <w:style w:type="paragraph" w:styleId="BalloonText">
    <w:name w:val="Balloon Text"/>
    <w:basedOn w:val="Normal"/>
    <w:link w:val="BalloonTextChar"/>
    <w:rsid w:val="00FD1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B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1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3949</Characters>
  <Application>Microsoft Office Word</Application>
  <DocSecurity>0</DocSecurity>
  <Lines>109</Lines>
  <Paragraphs>77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AURETR004 Diagnose complex faults in convenience and entertainment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2018-12-07T01:10:00Z</dcterms:created>
  <dcterms:modified xsi:type="dcterms:W3CDTF">2018-12-07T01:10:00Z</dcterms:modified>
</cp:coreProperties>
</file>