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421" w:rsidP="004C3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AURETH102 Inspect and maintain battery electric vehicles</w:t>
      </w:r>
      <w:r>
        <w:fldChar w:fldCharType="end"/>
      </w:r>
    </w:p>
    <w:p w:rsidR="004C3421" w:rsidP="004C3421">
      <w:pPr>
        <w:pStyle w:val="Version"/>
        <w:sectPr w:rsidSect="00FA53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3B4" w:rsidP="00FA53B4">
      <w:pPr>
        <w:pStyle w:val="SuperHeading"/>
      </w:pPr>
      <w:r w:rsidRPr="00FA53B4">
        <w:t>Assessment Requirements for AURETH102 Inspect and maintain battery electric vehicles</w:t>
      </w:r>
    </w:p>
    <w:p w:rsidR="00000000" w:rsidRPr="00FA53B4" w:rsidP="00FA53B4">
      <w:pPr>
        <w:pStyle w:val="Heading1"/>
      </w:pPr>
      <w:bookmarkStart w:id="1" w:name="O_1222556"/>
      <w:bookmarkEnd w:id="1"/>
      <w:r w:rsidRPr="00FA53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A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3B4" w:rsidP="00FA53B4">
            <w:pPr>
              <w:pStyle w:val="BodyText"/>
            </w:pPr>
            <w:r w:rsidRPr="00FA53B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3B4">
            <w:pPr>
              <w:pStyle w:val="BodyText"/>
              <w:rPr>
                <w:lang w:val="en-NZ"/>
              </w:rPr>
            </w:pPr>
            <w:r w:rsidRPr="00FA53B4">
              <w:rPr>
                <w:rStyle w:val="SpecialBold"/>
              </w:rPr>
              <w:t>Comments</w:t>
            </w:r>
          </w:p>
        </w:tc>
      </w:tr>
      <w:tr w:rsidTr="00FA5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3B4">
            <w:pPr>
              <w:pStyle w:val="BodyText"/>
              <w:rPr>
                <w:lang w:val="en-NZ"/>
              </w:rPr>
            </w:pPr>
            <w:r w:rsidRPr="00FA53B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3B4" w:rsidP="00FA53B4">
            <w:pPr>
              <w:pStyle w:val="BodyText"/>
            </w:pPr>
            <w:r w:rsidRPr="00FA53B4">
              <w:t>This version first re</w:t>
            </w:r>
            <w:r w:rsidRPr="00FA53B4">
              <w:t>leased with the Automotive Retail, Service and Repair Training Package Version 7.0.</w:t>
            </w:r>
          </w:p>
          <w:p w:rsidR="00000000" w:rsidRPr="00FA53B4" w:rsidP="00FA53B4">
            <w:pPr>
              <w:pStyle w:val="BodyText"/>
            </w:pPr>
            <w:r w:rsidRPr="00FA53B4">
              <w:t>Supersedes and is equivalent to AURETH002 Service and maintain battery electric vehicles.</w:t>
            </w:r>
          </w:p>
        </w:tc>
      </w:tr>
    </w:tbl>
    <w:p w:rsidR="00000000" w:rsidRPr="00FA53B4" w:rsidP="00FA53B4">
      <w:pPr>
        <w:pStyle w:val="BodyText"/>
      </w:pPr>
    </w:p>
    <w:p w:rsidR="00000000" w:rsidRPr="00FA53B4" w:rsidP="00FA53B4">
      <w:pPr>
        <w:pStyle w:val="AllowPageBreak"/>
      </w:pPr>
    </w:p>
    <w:p w:rsidR="00000000" w:rsidRPr="00FA53B4" w:rsidP="00FA53B4">
      <w:pPr>
        <w:pStyle w:val="Heading1"/>
      </w:pPr>
      <w:bookmarkStart w:id="2" w:name="O_1222557"/>
      <w:bookmarkEnd w:id="2"/>
      <w:r w:rsidRPr="00FA53B4">
        <w:t>Performance Evidence</w:t>
      </w:r>
    </w:p>
    <w:p w:rsidR="00000000" w:rsidRPr="00FA53B4" w:rsidP="004C3421">
      <w:pPr>
        <w:pStyle w:val="BodyText"/>
      </w:pPr>
      <w:r w:rsidRPr="00FA53B4">
        <w:t>The candidate must demonstrate the abili</w:t>
      </w:r>
      <w:r w:rsidRPr="00FA53B4">
        <w:t>ty to complete the tasks outlined in the elements, performance criteria and foundation skills of this unit, including evidence of the ability to:</w:t>
      </w:r>
    </w:p>
    <w:p w:rsidR="00000000" w:rsidRPr="00FA53B4" w:rsidP="00FA53B4">
      <w:pPr>
        <w:pStyle w:val="ListBullet"/>
      </w:pPr>
      <w:r w:rsidRPr="00FA53B4">
        <w:t>inspect and maintain at least two different battery electric vehicles (BEVs).</w:t>
      </w:r>
    </w:p>
    <w:p w:rsidR="00000000" w:rsidRPr="00FA53B4" w:rsidP="00FA53B4">
      <w:pPr>
        <w:pStyle w:val="AllowPageBreak"/>
      </w:pPr>
    </w:p>
    <w:p w:rsidR="00000000" w:rsidRPr="00FA53B4" w:rsidP="00FA53B4">
      <w:pPr>
        <w:pStyle w:val="Heading1"/>
      </w:pPr>
      <w:bookmarkStart w:id="3" w:name="O_1222558"/>
      <w:bookmarkEnd w:id="3"/>
      <w:r w:rsidRPr="00FA53B4">
        <w:t>Knowledge Evidence</w:t>
      </w:r>
    </w:p>
    <w:p w:rsidR="00000000" w:rsidRPr="00FA53B4" w:rsidP="004C3421">
      <w:pPr>
        <w:pStyle w:val="BodyText"/>
      </w:pPr>
      <w:r w:rsidRPr="00FA53B4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FA53B4" w:rsidP="00FA53B4">
      <w:pPr>
        <w:pStyle w:val="ListBullet"/>
      </w:pPr>
      <w:r w:rsidRPr="00FA53B4">
        <w:t>methods to locate and interpret information required t</w:t>
      </w:r>
      <w:r w:rsidRPr="00FA53B4">
        <w:t>o inspect and maintain battery electric vehicles, including:</w:t>
      </w:r>
    </w:p>
    <w:p w:rsidR="00000000" w:rsidRPr="00FA53B4" w:rsidP="00FA53B4">
      <w:pPr>
        <w:pStyle w:val="ListBullet2"/>
      </w:pPr>
      <w:r w:rsidRPr="00FA53B4">
        <w:t>Australian Standards (AS) 5732 Electric vehicle operations - Maintenance and repair</w:t>
      </w:r>
    </w:p>
    <w:p w:rsidR="00000000" w:rsidRPr="00FA53B4" w:rsidP="00FA53B4">
      <w:pPr>
        <w:pStyle w:val="ListBullet2"/>
      </w:pPr>
      <w:r w:rsidRPr="00FA53B4">
        <w:t xml:space="preserve">vehicle manufacturer specifications and procedures or equivalent documentation </w:t>
      </w:r>
    </w:p>
    <w:p w:rsidR="00000000" w:rsidRPr="00FA53B4" w:rsidP="00FA53B4">
      <w:pPr>
        <w:pStyle w:val="ListBullet"/>
      </w:pPr>
      <w:r w:rsidRPr="00FA53B4">
        <w:t>workplace procedures and poli</w:t>
      </w:r>
      <w:r w:rsidRPr="00FA53B4">
        <w:t>cies required to inspect and maintain battery electric vehicles, including:</w:t>
      </w:r>
    </w:p>
    <w:p w:rsidR="00000000" w:rsidRPr="00FA53B4" w:rsidP="00FA53B4">
      <w:pPr>
        <w:pStyle w:val="ListBullet2"/>
      </w:pPr>
      <w:r w:rsidRPr="00FA53B4">
        <w:t>documentation procedures</w:t>
      </w:r>
    </w:p>
    <w:p w:rsidR="00000000" w:rsidRPr="00FA53B4" w:rsidP="00FA53B4">
      <w:pPr>
        <w:pStyle w:val="ListBullet2"/>
      </w:pPr>
      <w:r w:rsidRPr="00FA53B4">
        <w:t>housekeeping procedures, including those for:</w:t>
      </w:r>
    </w:p>
    <w:p w:rsidR="00000000" w:rsidRPr="00FA53B4" w:rsidP="00FA53B4">
      <w:pPr>
        <w:pStyle w:val="ListBullet3"/>
      </w:pPr>
      <w:r w:rsidRPr="00FA53B4">
        <w:t>examining and storing tools and equipment</w:t>
      </w:r>
    </w:p>
    <w:p w:rsidR="00000000" w:rsidRPr="00FA53B4" w:rsidP="00FA53B4">
      <w:pPr>
        <w:pStyle w:val="ListBullet3"/>
      </w:pPr>
      <w:r w:rsidRPr="00FA53B4">
        <w:t>identifying, tagging and isolating faulty equipment</w:t>
      </w:r>
    </w:p>
    <w:p w:rsidR="00000000" w:rsidRPr="00FA53B4" w:rsidP="00FA53B4">
      <w:pPr>
        <w:pStyle w:val="ListBullet3"/>
      </w:pPr>
      <w:r w:rsidRPr="00FA53B4">
        <w:t>disposing and recycling of excess materials</w:t>
      </w:r>
    </w:p>
    <w:p w:rsidR="00000000" w:rsidRPr="00FA53B4" w:rsidP="00FA53B4">
      <w:pPr>
        <w:pStyle w:val="ListBullet"/>
      </w:pPr>
      <w:r w:rsidRPr="00FA53B4">
        <w:t>work health and safety (WHS) relating to inspecting and maintaining BEVs, including procedures for:</w:t>
      </w:r>
    </w:p>
    <w:p w:rsidR="00000000" w:rsidRPr="00FA53B4" w:rsidP="00FA53B4">
      <w:pPr>
        <w:pStyle w:val="ListBullet2"/>
      </w:pPr>
      <w:r w:rsidRPr="00FA53B4">
        <w:t>identifying hazards and controlling risks associated with:</w:t>
      </w:r>
    </w:p>
    <w:p w:rsidR="00000000" w:rsidRPr="00FA53B4" w:rsidP="00FA53B4">
      <w:pPr>
        <w:pStyle w:val="ListBullet3"/>
      </w:pPr>
      <w:r w:rsidRPr="00FA53B4">
        <w:t>working with high voltages on BEV electrical syste</w:t>
      </w:r>
      <w:r w:rsidRPr="00FA53B4">
        <w:t>ms</w:t>
      </w:r>
    </w:p>
    <w:p w:rsidR="00000000" w:rsidRPr="00FA53B4" w:rsidP="00FA53B4">
      <w:pPr>
        <w:pStyle w:val="ListBullet3"/>
      </w:pPr>
      <w:r w:rsidRPr="00FA53B4">
        <w:t>wearing jewellery while working around high electrical currents</w:t>
      </w:r>
    </w:p>
    <w:p w:rsidR="00000000" w:rsidRPr="00FA53B4" w:rsidP="00FA53B4">
      <w:pPr>
        <w:pStyle w:val="ListBullet2"/>
      </w:pPr>
      <w:r w:rsidRPr="00FA53B4">
        <w:t>minimising risk associated with hazards, including applying electrical safety precautions when:</w:t>
      </w:r>
    </w:p>
    <w:p w:rsidR="00000000" w:rsidRPr="00FA53B4" w:rsidP="00FA53B4">
      <w:pPr>
        <w:pStyle w:val="ListBullet3"/>
      </w:pPr>
      <w:r w:rsidRPr="00FA53B4">
        <w:t>using personal protective equipment (PPE), including electrical safety gloves with 1000 volt rating and Australian standards rated high voltage (HV) insulating mat</w:t>
      </w:r>
    </w:p>
    <w:p w:rsidR="00000000" w:rsidRPr="00FA53B4" w:rsidP="00FA53B4">
      <w:pPr>
        <w:pStyle w:val="ListBullet3"/>
      </w:pPr>
      <w:r w:rsidRPr="00FA53B4">
        <w:t>identifying and using firefighting equipment as appropriate</w:t>
      </w:r>
    </w:p>
    <w:p w:rsidR="00000000" w:rsidRPr="00FA53B4" w:rsidP="00FA53B4">
      <w:pPr>
        <w:pStyle w:val="ListBullet3"/>
      </w:pPr>
      <w:r w:rsidRPr="00FA53B4">
        <w:t>using the ‘one hand’ rule</w:t>
      </w:r>
    </w:p>
    <w:p w:rsidR="00000000" w:rsidRPr="00FA53B4" w:rsidP="00FA53B4">
      <w:pPr>
        <w:pStyle w:val="ListBullet3"/>
      </w:pPr>
      <w:r w:rsidRPr="00FA53B4">
        <w:t>follow</w:t>
      </w:r>
      <w:r w:rsidRPr="00FA53B4">
        <w:t>ing live system warning tags and signs</w:t>
      </w:r>
    </w:p>
    <w:p w:rsidR="00000000" w:rsidRPr="00FA53B4" w:rsidP="00FA53B4">
      <w:pPr>
        <w:pStyle w:val="ListBullet3"/>
      </w:pPr>
      <w:r w:rsidRPr="00FA53B4">
        <w:t>depowering vehicle</w:t>
      </w:r>
    </w:p>
    <w:p w:rsidR="00000000" w:rsidRPr="00FA53B4" w:rsidP="00FA53B4">
      <w:pPr>
        <w:pStyle w:val="ListBullet3"/>
      </w:pPr>
      <w:r w:rsidRPr="00FA53B4">
        <w:t>isolating HV rechargeable energy storage system (RESS) electrical supply</w:t>
      </w:r>
    </w:p>
    <w:p w:rsidR="00000000" w:rsidRPr="00FA53B4" w:rsidP="00FA53B4">
      <w:pPr>
        <w:pStyle w:val="ListBullet3"/>
      </w:pPr>
      <w:r w:rsidRPr="00FA53B4">
        <w:t>stabilising vehicle electrical system</w:t>
      </w:r>
    </w:p>
    <w:p w:rsidR="00000000" w:rsidRPr="00FA53B4" w:rsidP="00FA53B4">
      <w:pPr>
        <w:pStyle w:val="ListBullet"/>
      </w:pPr>
      <w:r w:rsidRPr="00FA53B4">
        <w:t>key components of BEVs and their functions</w:t>
      </w:r>
    </w:p>
    <w:p w:rsidR="00000000" w:rsidRPr="00FA53B4" w:rsidP="00FA53B4">
      <w:pPr>
        <w:pStyle w:val="ListBullet"/>
      </w:pPr>
      <w:r w:rsidRPr="00FA53B4">
        <w:t>RESS battery construction, including:</w:t>
      </w:r>
    </w:p>
    <w:p w:rsidR="00000000" w:rsidRPr="00FA53B4" w:rsidP="00FA53B4">
      <w:pPr>
        <w:pStyle w:val="ListBullet2"/>
      </w:pPr>
      <w:r w:rsidRPr="00FA53B4">
        <w:t>battery internal resistance</w:t>
      </w:r>
    </w:p>
    <w:p w:rsidR="00000000" w:rsidRPr="00FA53B4" w:rsidP="00FA53B4">
      <w:pPr>
        <w:pStyle w:val="ListBullet2"/>
      </w:pPr>
      <w:r w:rsidRPr="00FA53B4">
        <w:t>battery types</w:t>
      </w:r>
    </w:p>
    <w:p w:rsidR="00000000" w:rsidRPr="00FA53B4" w:rsidP="00FA53B4">
      <w:pPr>
        <w:pStyle w:val="ListBullet2"/>
      </w:pPr>
      <w:r w:rsidRPr="00FA53B4">
        <w:t>terminal corrosion</w:t>
      </w:r>
    </w:p>
    <w:p w:rsidR="00000000" w:rsidRPr="00FA53B4" w:rsidP="00FA53B4">
      <w:pPr>
        <w:pStyle w:val="ListBullet2"/>
      </w:pPr>
      <w:r w:rsidRPr="00FA53B4">
        <w:t>terminal resistance</w:t>
      </w:r>
    </w:p>
    <w:p w:rsidR="00000000" w:rsidRPr="00FA53B4" w:rsidP="00FA53B4">
      <w:pPr>
        <w:pStyle w:val="ListBullet"/>
      </w:pPr>
      <w:r w:rsidRPr="00FA53B4">
        <w:t>key components of RESS theory, including:</w:t>
      </w:r>
    </w:p>
    <w:p w:rsidR="00000000" w:rsidRPr="00FA53B4" w:rsidP="00FA53B4">
      <w:pPr>
        <w:pStyle w:val="ListBullet2"/>
      </w:pPr>
      <w:r w:rsidRPr="00FA53B4">
        <w:t>cell failure theory</w:t>
      </w:r>
    </w:p>
    <w:p w:rsidR="00000000" w:rsidRPr="00FA53B4" w:rsidP="00FA53B4">
      <w:pPr>
        <w:pStyle w:val="ListBullet2"/>
      </w:pPr>
      <w:r w:rsidRPr="00FA53B4">
        <w:t>charging characteristics</w:t>
      </w:r>
    </w:p>
    <w:p w:rsidR="00000000" w:rsidRPr="00FA53B4" w:rsidP="00FA53B4">
      <w:pPr>
        <w:pStyle w:val="ListBullet2"/>
      </w:pPr>
      <w:r w:rsidRPr="00FA53B4">
        <w:t>open circuit cells</w:t>
      </w:r>
    </w:p>
    <w:p w:rsidR="00000000" w:rsidRPr="00FA53B4" w:rsidP="00FA53B4">
      <w:pPr>
        <w:pStyle w:val="ListBullet2"/>
      </w:pPr>
      <w:r w:rsidRPr="00FA53B4">
        <w:t>reverse polarisation</w:t>
      </w:r>
    </w:p>
    <w:p w:rsidR="00000000" w:rsidRPr="00FA53B4" w:rsidP="00FA53B4">
      <w:pPr>
        <w:pStyle w:val="ListBullet2"/>
      </w:pPr>
      <w:r w:rsidRPr="00FA53B4">
        <w:t>series cell configuration</w:t>
      </w:r>
    </w:p>
    <w:p w:rsidR="00000000" w:rsidRPr="00FA53B4" w:rsidP="00FA53B4">
      <w:pPr>
        <w:pStyle w:val="ListBullet2"/>
      </w:pPr>
      <w:r w:rsidRPr="00FA53B4">
        <w:t>strapping and layout</w:t>
      </w:r>
    </w:p>
    <w:p w:rsidR="00000000" w:rsidRPr="00FA53B4" w:rsidP="00FA53B4">
      <w:pPr>
        <w:pStyle w:val="ListBullet"/>
      </w:pPr>
      <w:r w:rsidRPr="00FA53B4">
        <w:t xml:space="preserve">battery charger characteristics and operation, including battery cooling system and refrigerant flow through RESS </w:t>
      </w:r>
    </w:p>
    <w:p w:rsidR="00000000" w:rsidRPr="00FA53B4" w:rsidP="00FA53B4">
      <w:pPr>
        <w:pStyle w:val="ListBullet"/>
      </w:pPr>
      <w:r w:rsidRPr="00FA53B4">
        <w:t>battery management system (BMS) theory</w:t>
      </w:r>
    </w:p>
    <w:p w:rsidR="00000000" w:rsidRPr="00FA53B4" w:rsidP="00FA53B4">
      <w:pPr>
        <w:pStyle w:val="ListBullet"/>
      </w:pPr>
      <w:r w:rsidRPr="00FA53B4">
        <w:t xml:space="preserve">power distribution unit (PDU) operation. </w:t>
      </w:r>
    </w:p>
    <w:p w:rsidR="00000000" w:rsidRPr="00FA53B4" w:rsidP="00FA53B4">
      <w:pPr>
        <w:pStyle w:val="AllowPageBreak"/>
      </w:pPr>
    </w:p>
    <w:p w:rsidR="00000000" w:rsidRPr="00FA53B4" w:rsidP="00FA53B4">
      <w:pPr>
        <w:pStyle w:val="Heading1"/>
      </w:pPr>
      <w:bookmarkStart w:id="4" w:name="O_1222559"/>
      <w:bookmarkEnd w:id="4"/>
      <w:r w:rsidRPr="00FA53B4">
        <w:t>Assessment Conditions</w:t>
      </w:r>
    </w:p>
    <w:p w:rsidR="00000000" w:rsidRPr="00FA53B4" w:rsidP="004C3421">
      <w:pPr>
        <w:pStyle w:val="BodyText"/>
      </w:pPr>
      <w:r w:rsidRPr="00FA53B4">
        <w:t>Competency is to be assessed in the workplace or a simulated environment that accurately reflects performance in a real workplace setting.</w:t>
      </w:r>
    </w:p>
    <w:p w:rsidR="00000000" w:rsidRPr="00FA53B4" w:rsidP="004C3421">
      <w:pPr>
        <w:pStyle w:val="BodyText"/>
      </w:pPr>
      <w:r w:rsidRPr="00FA53B4">
        <w:t>Assessment must include direct observation of tasks.</w:t>
      </w:r>
    </w:p>
    <w:p w:rsidR="00000000" w:rsidRPr="00FA53B4" w:rsidP="004C3421">
      <w:pPr>
        <w:pStyle w:val="BodyText"/>
      </w:pPr>
      <w:r w:rsidRPr="00FA53B4">
        <w:t>Where assessment of competency includes third-party evidence, in</w:t>
      </w:r>
      <w:r w:rsidRPr="00FA53B4">
        <w:t>dividuals must provide evidence that links them to the BEVs that they have inspected and maintained e.g. repair orders.</w:t>
      </w:r>
    </w:p>
    <w:p w:rsidR="00000000" w:rsidRPr="00FA53B4" w:rsidP="004C3421">
      <w:pPr>
        <w:pStyle w:val="BodyText"/>
      </w:pPr>
      <w:r w:rsidRPr="00FA53B4">
        <w:t>Assessors must verify performance evidence through questioning on skills and knowledge to ensure correct interpretation and application.</w:t>
      </w:r>
    </w:p>
    <w:p w:rsidR="00000000" w:rsidRPr="00FA53B4" w:rsidP="004C3421">
      <w:pPr>
        <w:pStyle w:val="BodyText"/>
      </w:pPr>
      <w:r w:rsidRPr="00FA53B4">
        <w:t>The following resources must be made available:</w:t>
      </w:r>
    </w:p>
    <w:p w:rsidR="00000000" w:rsidRPr="00FA53B4" w:rsidP="00FA53B4">
      <w:pPr>
        <w:pStyle w:val="ListBullet"/>
      </w:pPr>
      <w:r w:rsidRPr="00FA53B4">
        <w:t>automotive repair workplace or simulated workplace</w:t>
      </w:r>
    </w:p>
    <w:p w:rsidR="00000000" w:rsidRPr="00FA53B4" w:rsidP="00FA53B4">
      <w:pPr>
        <w:pStyle w:val="ListBullet"/>
      </w:pPr>
      <w:r w:rsidRPr="00FA53B4">
        <w:t>PPE and safety equipment, including electrical safety gloves with 1000 volt rating and Australian standards rated HV insulating mat</w:t>
      </w:r>
    </w:p>
    <w:p w:rsidR="00000000" w:rsidRPr="00FA53B4" w:rsidP="00FA53B4">
      <w:pPr>
        <w:pStyle w:val="ListBullet"/>
      </w:pPr>
      <w:r w:rsidRPr="00FA53B4">
        <w:t>manufacturer specificat</w:t>
      </w:r>
      <w:r w:rsidRPr="00FA53B4">
        <w:t>ions and inspection procedures for the BEVs being inspected and maintained</w:t>
      </w:r>
    </w:p>
    <w:p w:rsidR="00000000" w:rsidRPr="00FA53B4" w:rsidP="00FA53B4">
      <w:pPr>
        <w:pStyle w:val="ListBullet"/>
      </w:pPr>
      <w:r w:rsidRPr="00FA53B4">
        <w:t>AS 5732 Electric vehicle operations - Maintenance and repair</w:t>
      </w:r>
    </w:p>
    <w:p w:rsidR="00000000" w:rsidRPr="00FA53B4" w:rsidP="00FA53B4">
      <w:pPr>
        <w:pStyle w:val="ListBullet"/>
      </w:pPr>
      <w:r w:rsidRPr="00FA53B4">
        <w:t>two different BEVs as specified in the performance evidence</w:t>
      </w:r>
    </w:p>
    <w:p w:rsidR="00000000" w:rsidRPr="00FA53B4" w:rsidP="00FA53B4">
      <w:pPr>
        <w:pStyle w:val="ListBullet"/>
      </w:pPr>
      <w:r w:rsidRPr="00FA53B4">
        <w:t>electrical test equipment, including:</w:t>
      </w:r>
    </w:p>
    <w:p w:rsidR="00000000" w:rsidRPr="00FA53B4" w:rsidP="00FA53B4">
      <w:pPr>
        <w:pStyle w:val="ListBullet2"/>
      </w:pPr>
      <w:r w:rsidRPr="00FA53B4">
        <w:t>digital multimeter wi</w:t>
      </w:r>
      <w:r w:rsidRPr="00FA53B4">
        <w:t>th Cat III 1000 volt rating</w:t>
      </w:r>
    </w:p>
    <w:p w:rsidR="00000000" w:rsidRPr="00FA53B4" w:rsidP="00FA53B4">
      <w:pPr>
        <w:pStyle w:val="ListBullet2"/>
      </w:pPr>
      <w:r w:rsidRPr="00FA53B4">
        <w:t>insulation tester</w:t>
      </w:r>
    </w:p>
    <w:p w:rsidR="00000000" w:rsidRPr="00FA53B4" w:rsidP="00FA53B4">
      <w:pPr>
        <w:pStyle w:val="ListBullet2"/>
      </w:pPr>
      <w:r w:rsidRPr="00FA53B4">
        <w:t>residual voltage tester, if specified in original equipment manufacturer (OEM) test requirements</w:t>
      </w:r>
    </w:p>
    <w:p w:rsidR="00000000" w:rsidRPr="00FA53B4" w:rsidP="00FA53B4">
      <w:pPr>
        <w:pStyle w:val="ListBullet2"/>
      </w:pPr>
      <w:r w:rsidRPr="00FA53B4">
        <w:t>scan tool</w:t>
      </w:r>
    </w:p>
    <w:p w:rsidR="00000000" w:rsidRPr="00FA53B4" w:rsidP="00FA53B4">
      <w:pPr>
        <w:pStyle w:val="ListBullet2"/>
      </w:pPr>
      <w:r w:rsidRPr="00FA53B4">
        <w:t>tools, equipment and materials appropriate for servicing and maintaining BEVs.</w:t>
      </w:r>
    </w:p>
    <w:p w:rsidR="00000000" w:rsidRPr="00FA53B4" w:rsidP="00FA53B4">
      <w:pPr>
        <w:pStyle w:val="BodyText"/>
      </w:pPr>
    </w:p>
    <w:p w:rsidR="00000000" w:rsidRPr="00FA53B4" w:rsidP="004C3421">
      <w:pPr>
        <w:pStyle w:val="BodyText"/>
      </w:pPr>
      <w:r w:rsidRPr="00FA53B4">
        <w:t>Assessors of this unit must satisfy the requirements for assessors in applicable vocational education and training legislation, frameworks and/or standards.</w:t>
      </w:r>
    </w:p>
    <w:p w:rsidR="00000000" w:rsidRPr="00FA53B4" w:rsidP="00FA53B4">
      <w:pPr>
        <w:pStyle w:val="Heading1"/>
      </w:pPr>
      <w:bookmarkStart w:id="5" w:name="O_1222562"/>
      <w:bookmarkEnd w:id="5"/>
      <w:r w:rsidRPr="00FA53B4">
        <w:t>Links</w:t>
      </w:r>
    </w:p>
    <w:p w:rsidR="00000000" w:rsidRPr="00FA53B4" w:rsidP="004C3421">
      <w:pPr>
        <w:pStyle w:val="BodyText"/>
      </w:pPr>
      <w:r w:rsidRPr="00FA53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85A7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A53B4" w:rsidP="00FA53B4"/>
    <w:sectPr w:rsidSect="00FA53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B4" w:rsidRPr="004C3421" w:rsidP="004C3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421" w:rsidP="00FA53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3421" w:rsidP="00FA53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3421" w:rsidP="00FA53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3B4" w:rsidRPr="004C3421" w:rsidP="004C3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421" w:rsidRPr="002D2AF8" w:rsidP="00FA53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AURETH102 Inspect and maintain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C3421" w:rsidP="00FA53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F228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425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8C1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3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3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3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3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3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3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3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3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3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3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3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3B4"/>
  </w:style>
  <w:style w:type="character" w:customStyle="1" w:styleId="Heading1Char">
    <w:name w:val="Heading 1 Char"/>
    <w:basedOn w:val="DefaultParagraphFont"/>
    <w:link w:val="Heading1"/>
    <w:rsid w:val="00FA53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3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3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3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3B4"/>
    <w:rPr>
      <w:b/>
      <w:spacing w:val="0"/>
    </w:rPr>
  </w:style>
  <w:style w:type="paragraph" w:styleId="ListBullet2">
    <w:name w:val="List Bullet 2"/>
    <w:basedOn w:val="List2"/>
    <w:rsid w:val="00FA53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3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3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53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53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3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3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3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3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3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3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3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3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3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3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3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3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3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3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3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3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3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3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3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3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3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3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3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3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3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3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3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3B4"/>
    <w:rPr>
      <w:i/>
    </w:rPr>
  </w:style>
  <w:style w:type="paragraph" w:styleId="Caption">
    <w:name w:val="caption"/>
    <w:basedOn w:val="BodyText"/>
    <w:next w:val="Normal"/>
    <w:qFormat/>
    <w:rsid w:val="00FA53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3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3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3B4"/>
  </w:style>
  <w:style w:type="paragraph" w:styleId="TableofFigures">
    <w:name w:val="table of figures"/>
    <w:basedOn w:val="Normal"/>
    <w:next w:val="Normal"/>
    <w:semiHidden/>
    <w:rsid w:val="00FA53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3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53B4"/>
    <w:rPr>
      <w:rFonts w:ascii="Wingdings" w:hAnsi="Wingdings"/>
    </w:rPr>
  </w:style>
  <w:style w:type="paragraph" w:customStyle="1" w:styleId="TableHeading">
    <w:name w:val="Table Heading"/>
    <w:basedOn w:val="HeadingBase"/>
    <w:rsid w:val="00FA53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3B4"/>
    <w:rPr>
      <w:color w:val="0033CC"/>
      <w:u w:val="none"/>
    </w:rPr>
  </w:style>
  <w:style w:type="paragraph" w:customStyle="1" w:styleId="BodyTextRight">
    <w:name w:val="Body Text Right"/>
    <w:basedOn w:val="BodyText"/>
    <w:rsid w:val="00FA53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3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3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3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3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3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3B4"/>
    <w:rPr>
      <w:sz w:val="32"/>
    </w:rPr>
  </w:style>
  <w:style w:type="paragraph" w:customStyle="1" w:styleId="HeadingProcedure">
    <w:name w:val="Heading Procedure"/>
    <w:basedOn w:val="HeadingBase"/>
    <w:next w:val="Normal"/>
    <w:rsid w:val="00FA53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3B4"/>
    <w:pPr>
      <w:spacing w:before="60" w:after="60"/>
    </w:pPr>
  </w:style>
  <w:style w:type="paragraph" w:styleId="ListContinue">
    <w:name w:val="List Continue"/>
    <w:basedOn w:val="List"/>
    <w:rsid w:val="00FA53B4"/>
    <w:pPr>
      <w:ind w:firstLine="0"/>
    </w:pPr>
  </w:style>
  <w:style w:type="paragraph" w:customStyle="1" w:styleId="ListNote">
    <w:name w:val="List Note"/>
    <w:basedOn w:val="List"/>
    <w:rsid w:val="00FA53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3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3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3B4"/>
    <w:rPr>
      <w:rFonts w:ascii="Courier New" w:hAnsi="Courier New"/>
    </w:rPr>
  </w:style>
  <w:style w:type="paragraph" w:customStyle="1" w:styleId="NoteBullet">
    <w:name w:val="Note Bullet"/>
    <w:basedOn w:val="Note"/>
    <w:rsid w:val="00FA53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3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3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3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3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53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3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3B4"/>
    <w:rPr>
      <w:b/>
      <w:smallCaps/>
    </w:rPr>
  </w:style>
  <w:style w:type="paragraph" w:customStyle="1" w:styleId="TableListNumber">
    <w:name w:val="Table List Number"/>
    <w:basedOn w:val="ListNumber"/>
    <w:rsid w:val="00FA53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3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3B4"/>
    <w:pPr>
      <w:numPr>
        <w:numId w:val="10"/>
      </w:numPr>
    </w:pPr>
  </w:style>
  <w:style w:type="paragraph" w:customStyle="1" w:styleId="ListAlpha2">
    <w:name w:val="List Alpha 2"/>
    <w:basedOn w:val="List2"/>
    <w:rsid w:val="00FA53B4"/>
    <w:pPr>
      <w:numPr>
        <w:numId w:val="9"/>
      </w:numPr>
    </w:pPr>
  </w:style>
  <w:style w:type="paragraph" w:styleId="List2">
    <w:name w:val="List 2"/>
    <w:basedOn w:val="BodyText"/>
    <w:rsid w:val="00FA53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3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3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3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53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53B4"/>
    <w:pPr>
      <w:numPr>
        <w:numId w:val="5"/>
      </w:numPr>
    </w:pPr>
  </w:style>
  <w:style w:type="paragraph" w:styleId="ListContinue2">
    <w:name w:val="List Continue 2"/>
    <w:basedOn w:val="List2"/>
    <w:rsid w:val="00FA53B4"/>
    <w:pPr>
      <w:ind w:firstLine="0"/>
    </w:pPr>
  </w:style>
  <w:style w:type="paragraph" w:styleId="ListContinue3">
    <w:name w:val="List Continue 3"/>
    <w:basedOn w:val="List3"/>
    <w:rsid w:val="00FA53B4"/>
    <w:pPr>
      <w:ind w:left="1021" w:firstLine="0"/>
    </w:pPr>
  </w:style>
  <w:style w:type="paragraph" w:styleId="ListContinue4">
    <w:name w:val="List Continue 4"/>
    <w:basedOn w:val="List4"/>
    <w:rsid w:val="00FA53B4"/>
    <w:pPr>
      <w:ind w:firstLine="0"/>
    </w:pPr>
  </w:style>
  <w:style w:type="paragraph" w:styleId="ListContinue5">
    <w:name w:val="List Continue 5"/>
    <w:basedOn w:val="List5"/>
    <w:rsid w:val="00FA53B4"/>
    <w:pPr>
      <w:ind w:firstLine="0"/>
    </w:pPr>
  </w:style>
  <w:style w:type="paragraph" w:styleId="ListNumber3">
    <w:name w:val="List Number 3"/>
    <w:basedOn w:val="List3"/>
    <w:rsid w:val="00FA53B4"/>
    <w:pPr>
      <w:numPr>
        <w:numId w:val="6"/>
      </w:numPr>
    </w:pPr>
  </w:style>
  <w:style w:type="paragraph" w:styleId="ListNumber4">
    <w:name w:val="List Number 4"/>
    <w:basedOn w:val="List4"/>
    <w:rsid w:val="00FA53B4"/>
    <w:pPr>
      <w:numPr>
        <w:numId w:val="7"/>
      </w:numPr>
    </w:pPr>
  </w:style>
  <w:style w:type="paragraph" w:styleId="ListNumber5">
    <w:name w:val="List Number 5"/>
    <w:basedOn w:val="List5"/>
    <w:rsid w:val="00FA53B4"/>
    <w:pPr>
      <w:numPr>
        <w:numId w:val="8"/>
      </w:numPr>
    </w:pPr>
  </w:style>
  <w:style w:type="paragraph" w:styleId="BlockText">
    <w:name w:val="Block Text"/>
    <w:basedOn w:val="Normal"/>
    <w:rsid w:val="00FA53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3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3B4"/>
    <w:rPr>
      <w:sz w:val="16"/>
      <w:vertAlign w:val="superscript"/>
    </w:rPr>
  </w:style>
  <w:style w:type="character" w:customStyle="1" w:styleId="Symbols">
    <w:name w:val="Symbols"/>
    <w:basedOn w:val="DefaultParagraphFont"/>
    <w:rsid w:val="00FA53B4"/>
    <w:rPr>
      <w:rFonts w:ascii="Symbol" w:hAnsi="Symbol"/>
    </w:rPr>
  </w:style>
  <w:style w:type="character" w:customStyle="1" w:styleId="MenuOptions">
    <w:name w:val="Menu Options"/>
    <w:basedOn w:val="DefaultParagraphFont"/>
    <w:rsid w:val="00FA53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3B4"/>
    <w:rPr>
      <w:b/>
    </w:rPr>
  </w:style>
  <w:style w:type="character" w:customStyle="1" w:styleId="Underlined">
    <w:name w:val="Underlined"/>
    <w:basedOn w:val="DefaultParagraphFont"/>
    <w:rsid w:val="00FA53B4"/>
    <w:rPr>
      <w:u w:val="single"/>
    </w:rPr>
  </w:style>
  <w:style w:type="paragraph" w:customStyle="1" w:styleId="TableBodyTextRight">
    <w:name w:val="Table Body Text Right"/>
    <w:basedOn w:val="TableBodyText"/>
    <w:rsid w:val="00FA53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3B4"/>
    <w:rPr>
      <w:sz w:val="18"/>
    </w:rPr>
  </w:style>
  <w:style w:type="paragraph" w:customStyle="1" w:styleId="BodySmallRight">
    <w:name w:val="Body Small Right"/>
    <w:basedOn w:val="BodyTextRight"/>
    <w:rsid w:val="00FA53B4"/>
    <w:rPr>
      <w:sz w:val="18"/>
      <w:szCs w:val="18"/>
    </w:rPr>
  </w:style>
  <w:style w:type="paragraph" w:customStyle="1" w:styleId="MarginEdition">
    <w:name w:val="Margin Edition"/>
    <w:basedOn w:val="MarginNote"/>
    <w:rsid w:val="00FA53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3B4"/>
    <w:rPr>
      <w:sz w:val="2"/>
      <w:szCs w:val="2"/>
    </w:rPr>
  </w:style>
  <w:style w:type="character" w:customStyle="1" w:styleId="Small">
    <w:name w:val="Small"/>
    <w:basedOn w:val="DefaultParagraphFont"/>
    <w:rsid w:val="00FA53B4"/>
    <w:rPr>
      <w:sz w:val="16"/>
    </w:rPr>
  </w:style>
  <w:style w:type="paragraph" w:customStyle="1" w:styleId="WideTable">
    <w:name w:val="Wide Table"/>
    <w:basedOn w:val="Normal"/>
    <w:rsid w:val="00FA53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3B4"/>
  </w:style>
  <w:style w:type="paragraph" w:styleId="Quote">
    <w:name w:val="Quote"/>
    <w:basedOn w:val="Heading1"/>
    <w:link w:val="QuoteChar"/>
    <w:qFormat/>
    <w:rsid w:val="00FA53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3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3B4"/>
    <w:pPr>
      <w:pageBreakBefore/>
    </w:pPr>
  </w:style>
  <w:style w:type="paragraph" w:customStyle="1" w:styleId="Border">
    <w:name w:val="Border"/>
    <w:basedOn w:val="Normal"/>
    <w:qFormat/>
    <w:rsid w:val="00FA53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3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3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3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3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3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3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3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3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3B4"/>
    <w:rPr>
      <w:u w:val="single"/>
    </w:rPr>
  </w:style>
  <w:style w:type="character" w:customStyle="1" w:styleId="BoldandItalics">
    <w:name w:val="Bold and Italics"/>
    <w:qFormat/>
    <w:rsid w:val="00FA53B4"/>
    <w:rPr>
      <w:b/>
      <w:i/>
      <w:u w:val="none"/>
    </w:rPr>
  </w:style>
  <w:style w:type="paragraph" w:styleId="BalloonText">
    <w:name w:val="Balloon Text"/>
    <w:basedOn w:val="Normal"/>
    <w:link w:val="BalloonTextChar"/>
    <w:rsid w:val="00FA53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3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3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3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3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3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3B4"/>
    <w:pPr>
      <w:spacing w:before="0" w:after="0"/>
    </w:pPr>
  </w:style>
  <w:style w:type="paragraph" w:customStyle="1" w:styleId="BodyTextBold">
    <w:name w:val="Body Text Bold"/>
    <w:basedOn w:val="BodyText"/>
    <w:qFormat/>
    <w:rsid w:val="00FA53B4"/>
    <w:rPr>
      <w:b/>
    </w:rPr>
  </w:style>
  <w:style w:type="character" w:styleId="Hyperlink">
    <w:name w:val="Hyperlink"/>
    <w:basedOn w:val="DefaultParagraphFont"/>
    <w:uiPriority w:val="99"/>
    <w:unhideWhenUsed/>
    <w:rsid w:val="004C3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4005</Characters>
  <Application>Microsoft Office Word</Application>
  <DocSecurity>0</DocSecurity>
  <Lines>105</Lines>
  <Paragraphs>83</Paragraphs>
  <ScaleCrop>false</ScaleCrop>
  <Company>Author-it Software Corporation Ltd.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AURETH102 Inspect and maintain battery electric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2022-06-23T06:56:00Z</dcterms:created>
  <dcterms:modified xsi:type="dcterms:W3CDTF">2022-06-23T06:56:00Z</dcterms:modified>
</cp:coreProperties>
</file>