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7F7" w:rsidP="000C1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AURETH012 Service and maintain electrical components in hybrid electric vehicles</w:t>
      </w:r>
      <w:r>
        <w:fldChar w:fldCharType="end"/>
      </w:r>
    </w:p>
    <w:p w:rsidR="000C17F7" w:rsidP="000C17F7">
      <w:pPr>
        <w:pStyle w:val="Version"/>
        <w:sectPr w:rsidSect="00832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C47" w:rsidP="00832C47">
      <w:pPr>
        <w:pStyle w:val="SuperHeading"/>
      </w:pPr>
      <w:r w:rsidRPr="00832C47">
        <w:t>Assessment Requirements for AURETH012 Service and maintain electrical components in hybrid electric vehicles</w:t>
      </w:r>
    </w:p>
    <w:p w:rsidR="00000000" w:rsidRPr="00832C47" w:rsidP="00832C47">
      <w:pPr>
        <w:pStyle w:val="Heading1"/>
      </w:pPr>
      <w:bookmarkStart w:id="1" w:name="O_794320"/>
      <w:bookmarkEnd w:id="1"/>
      <w:r w:rsidRPr="00832C4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C17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47" w:rsidP="00832C47">
            <w:pPr>
              <w:pStyle w:val="BodyText"/>
            </w:pPr>
            <w:r w:rsidRPr="00832C4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47">
            <w:pPr>
              <w:pStyle w:val="BodyText"/>
              <w:rPr>
                <w:lang w:val="en-NZ"/>
              </w:rPr>
            </w:pPr>
            <w:r w:rsidRPr="00832C47">
              <w:rPr>
                <w:rStyle w:val="SpecialBold"/>
              </w:rPr>
              <w:t>Comment</w:t>
            </w:r>
          </w:p>
        </w:tc>
      </w:tr>
      <w:tr w:rsidTr="000C17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C47">
            <w:pPr>
              <w:pStyle w:val="BodyText"/>
              <w:rPr>
                <w:lang w:val="en-NZ"/>
              </w:rPr>
            </w:pPr>
            <w:r w:rsidRPr="00832C4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C47" w:rsidP="00832C47">
            <w:pPr>
              <w:pStyle w:val="BodyText"/>
            </w:pPr>
            <w:r w:rsidRPr="00832C47">
              <w:t>New unit of competency.</w:t>
            </w:r>
          </w:p>
        </w:tc>
      </w:tr>
    </w:tbl>
    <w:p w:rsidR="00000000" w:rsidRPr="00832C47" w:rsidP="00832C47">
      <w:pPr>
        <w:pStyle w:val="BodyText"/>
      </w:pPr>
    </w:p>
    <w:p w:rsidR="00000000" w:rsidRPr="00832C47" w:rsidP="00832C47">
      <w:pPr>
        <w:pStyle w:val="AllowPageBreak"/>
      </w:pPr>
    </w:p>
    <w:p w:rsidR="00000000" w:rsidRPr="00832C47" w:rsidP="00832C47">
      <w:pPr>
        <w:pStyle w:val="Heading1"/>
      </w:pPr>
      <w:bookmarkStart w:id="2" w:name="O_794321"/>
      <w:bookmarkEnd w:id="2"/>
      <w:r w:rsidRPr="00832C47">
        <w:t>Performance Evidence</w:t>
      </w:r>
    </w:p>
    <w:p w:rsidR="00000000" w:rsidRPr="00832C47" w:rsidP="000C17F7">
      <w:pPr>
        <w:pStyle w:val="BodyText"/>
      </w:pPr>
      <w:r w:rsidRPr="00832C47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832C47" w:rsidP="00832C47">
      <w:pPr>
        <w:pStyle w:val="ListBullet2"/>
      </w:pPr>
      <w:r w:rsidRPr="00832C47">
        <w:t>safely test, service and maintain t</w:t>
      </w:r>
      <w:r w:rsidRPr="00832C47">
        <w:t xml:space="preserve">wo different hybrid electric vehicles (HEVs) or plug-in hybrid electric vehicles (PHEVs). </w:t>
      </w:r>
    </w:p>
    <w:p w:rsidR="00000000" w:rsidRPr="00832C47" w:rsidP="00832C47">
      <w:pPr>
        <w:pStyle w:val="AllowPageBreak"/>
      </w:pPr>
    </w:p>
    <w:p w:rsidR="00000000" w:rsidRPr="00832C47" w:rsidP="00832C47">
      <w:pPr>
        <w:pStyle w:val="Heading1"/>
      </w:pPr>
      <w:bookmarkStart w:id="3" w:name="O_794322"/>
      <w:bookmarkEnd w:id="3"/>
      <w:r w:rsidRPr="00832C47">
        <w:t>Knowledge Evidence</w:t>
      </w:r>
    </w:p>
    <w:p w:rsidR="00000000" w:rsidRPr="00832C47" w:rsidP="000C17F7">
      <w:pPr>
        <w:pStyle w:val="BodyText"/>
      </w:pPr>
      <w:r w:rsidRPr="00832C47">
        <w:t>Individuals must be able to demonstrate knowledge of:</w:t>
      </w:r>
    </w:p>
    <w:p w:rsidR="00000000" w:rsidRPr="00832C47" w:rsidP="00832C47">
      <w:pPr>
        <w:pStyle w:val="ListBullet"/>
      </w:pPr>
      <w:r w:rsidRPr="00832C47">
        <w:t>work health and safety (WHS) and occupational health and safety (OHS) requirements relating to servicing and maintaining HEV and PHEV electrical components, including procedures for:</w:t>
      </w:r>
    </w:p>
    <w:p w:rsidR="00000000" w:rsidRPr="00832C47" w:rsidP="00832C47">
      <w:pPr>
        <w:pStyle w:val="ListBullet2"/>
      </w:pPr>
      <w:r w:rsidRPr="00832C47">
        <w:t>identifying hazards and controlling risks associated with:</w:t>
      </w:r>
    </w:p>
    <w:p w:rsidR="00000000" w:rsidRPr="00832C47" w:rsidP="00832C47">
      <w:pPr>
        <w:pStyle w:val="ListBullet3"/>
      </w:pPr>
      <w:r w:rsidRPr="00832C47">
        <w:t>working with</w:t>
      </w:r>
      <w:r w:rsidRPr="00832C47">
        <w:t xml:space="preserve"> high voltages on HEV and PHEV electrical systems</w:t>
      </w:r>
    </w:p>
    <w:p w:rsidR="00000000" w:rsidRPr="00832C47" w:rsidP="00832C47">
      <w:pPr>
        <w:pStyle w:val="ListBullet3"/>
      </w:pPr>
      <w:r w:rsidRPr="00832C47">
        <w:t>wearing jewellery while working around high electrical currents</w:t>
      </w:r>
    </w:p>
    <w:p w:rsidR="00000000" w:rsidRPr="00832C47" w:rsidP="00832C47">
      <w:pPr>
        <w:pStyle w:val="ListBullet2"/>
      </w:pPr>
      <w:r w:rsidRPr="00832C47">
        <w:t>determining appropriate procedures for minimising risk associated with hazards, including applying electrical safety precautions when:</w:t>
      </w:r>
    </w:p>
    <w:p w:rsidR="00000000" w:rsidRPr="00832C47" w:rsidP="00832C47">
      <w:pPr>
        <w:pStyle w:val="ListBullet3"/>
      </w:pPr>
      <w:r w:rsidRPr="00832C47">
        <w:t>using personal protective equipment (PPE), including electrical safety gloves with 1000 volt rating and Australian standards rated high voltage (HV) insulating mat</w:t>
      </w:r>
    </w:p>
    <w:p w:rsidR="00000000" w:rsidRPr="00832C47" w:rsidP="00832C47">
      <w:pPr>
        <w:pStyle w:val="ListBullet3"/>
      </w:pPr>
      <w:r w:rsidRPr="00832C47">
        <w:t>identifying and using firefighting equipment as appropriate</w:t>
      </w:r>
    </w:p>
    <w:p w:rsidR="00000000" w:rsidRPr="00832C47" w:rsidP="00832C47">
      <w:pPr>
        <w:pStyle w:val="ListBullet3"/>
      </w:pPr>
      <w:r w:rsidRPr="00832C47">
        <w:t>using the ‘one hand’ rule</w:t>
      </w:r>
    </w:p>
    <w:p w:rsidR="00000000" w:rsidRPr="00832C47" w:rsidP="00832C47">
      <w:pPr>
        <w:pStyle w:val="ListBullet3"/>
      </w:pPr>
      <w:r w:rsidRPr="00832C47">
        <w:t>follow</w:t>
      </w:r>
      <w:r w:rsidRPr="00832C47">
        <w:t>ing live system warning tags and signs</w:t>
      </w:r>
    </w:p>
    <w:p w:rsidR="00000000" w:rsidRPr="00832C47" w:rsidP="00832C47">
      <w:pPr>
        <w:pStyle w:val="ListBullet3"/>
      </w:pPr>
      <w:r w:rsidRPr="00832C47">
        <w:t>depowering vehicle</w:t>
      </w:r>
    </w:p>
    <w:p w:rsidR="00000000" w:rsidRPr="00832C47" w:rsidP="00832C47">
      <w:pPr>
        <w:pStyle w:val="ListBullet3"/>
      </w:pPr>
      <w:r w:rsidRPr="00832C47">
        <w:t>isolating HV rechargeable energy storage system (RESS) electrical supply</w:t>
      </w:r>
    </w:p>
    <w:p w:rsidR="00000000" w:rsidRPr="00832C47" w:rsidP="00832C47">
      <w:pPr>
        <w:pStyle w:val="ListBullet3"/>
      </w:pPr>
      <w:r w:rsidRPr="00832C47">
        <w:t>stabilising vehicle electrical system</w:t>
      </w:r>
    </w:p>
    <w:p w:rsidR="00000000" w:rsidRPr="00832C47" w:rsidP="00832C47">
      <w:pPr>
        <w:pStyle w:val="ListBullet"/>
      </w:pPr>
      <w:r w:rsidRPr="00832C47">
        <w:t xml:space="preserve">requirements of AS 5732 Electric vehicle operations - Maintenance and repair </w:t>
      </w:r>
    </w:p>
    <w:p w:rsidR="00000000" w:rsidRPr="00832C47" w:rsidP="00832C47">
      <w:pPr>
        <w:pStyle w:val="ListBullet"/>
      </w:pPr>
      <w:r w:rsidRPr="00832C47">
        <w:t>key electrical components of HEVs and PHEVs and their functions</w:t>
      </w:r>
    </w:p>
    <w:p w:rsidR="00000000" w:rsidRPr="00832C47" w:rsidP="00832C47">
      <w:pPr>
        <w:pStyle w:val="ListBullet"/>
      </w:pPr>
      <w:r w:rsidRPr="00832C47">
        <w:t>RESS battery construction, including:</w:t>
      </w:r>
    </w:p>
    <w:p w:rsidR="00000000" w:rsidRPr="00832C47" w:rsidP="00832C47">
      <w:pPr>
        <w:pStyle w:val="ListBullet2"/>
      </w:pPr>
      <w:r w:rsidRPr="00832C47">
        <w:t>battery internal resistance</w:t>
      </w:r>
    </w:p>
    <w:p w:rsidR="00000000" w:rsidRPr="00832C47" w:rsidP="00832C47">
      <w:pPr>
        <w:pStyle w:val="ListBullet2"/>
      </w:pPr>
      <w:r w:rsidRPr="00832C47">
        <w:t>battery types</w:t>
      </w:r>
    </w:p>
    <w:p w:rsidR="00000000" w:rsidRPr="00832C47" w:rsidP="00832C47">
      <w:pPr>
        <w:pStyle w:val="ListBullet2"/>
      </w:pPr>
      <w:r w:rsidRPr="00832C47">
        <w:t>terminal corrosion</w:t>
      </w:r>
    </w:p>
    <w:p w:rsidR="00000000" w:rsidRPr="00832C47" w:rsidP="00832C47">
      <w:pPr>
        <w:pStyle w:val="ListBullet2"/>
      </w:pPr>
      <w:r w:rsidRPr="00832C47">
        <w:t>terminal resistance</w:t>
      </w:r>
    </w:p>
    <w:p w:rsidR="00000000" w:rsidRPr="00832C47" w:rsidP="00832C47">
      <w:pPr>
        <w:pStyle w:val="ListBullet"/>
      </w:pPr>
      <w:r w:rsidRPr="00832C47">
        <w:t>key components of RESS theory, including:</w:t>
      </w:r>
    </w:p>
    <w:p w:rsidR="00000000" w:rsidRPr="00832C47" w:rsidP="00832C47">
      <w:pPr>
        <w:pStyle w:val="ListBullet2"/>
      </w:pPr>
      <w:r w:rsidRPr="00832C47">
        <w:t>cell failure theory</w:t>
      </w:r>
    </w:p>
    <w:p w:rsidR="00000000" w:rsidRPr="00832C47" w:rsidP="00832C47">
      <w:pPr>
        <w:pStyle w:val="ListBullet2"/>
      </w:pPr>
      <w:r w:rsidRPr="00832C47">
        <w:t>charging</w:t>
      </w:r>
      <w:r w:rsidRPr="00832C47">
        <w:t xml:space="preserve"> characteristics</w:t>
      </w:r>
    </w:p>
    <w:p w:rsidR="00000000" w:rsidRPr="00832C47" w:rsidP="00832C47">
      <w:pPr>
        <w:pStyle w:val="ListBullet2"/>
      </w:pPr>
      <w:r w:rsidRPr="00832C47">
        <w:t>open circuit cells</w:t>
      </w:r>
    </w:p>
    <w:p w:rsidR="00000000" w:rsidRPr="00832C47" w:rsidP="00832C47">
      <w:pPr>
        <w:pStyle w:val="ListBullet2"/>
      </w:pPr>
      <w:r w:rsidRPr="00832C47">
        <w:t>reverse polarisation</w:t>
      </w:r>
    </w:p>
    <w:p w:rsidR="00000000" w:rsidRPr="00832C47" w:rsidP="00832C47">
      <w:pPr>
        <w:pStyle w:val="ListBullet2"/>
      </w:pPr>
      <w:r w:rsidRPr="00832C47">
        <w:t>series cell configuration</w:t>
      </w:r>
    </w:p>
    <w:p w:rsidR="00000000" w:rsidRPr="00832C47" w:rsidP="00832C47">
      <w:pPr>
        <w:pStyle w:val="ListBullet2"/>
      </w:pPr>
      <w:r w:rsidRPr="00832C47">
        <w:t>strapping and layout</w:t>
      </w:r>
    </w:p>
    <w:p w:rsidR="00000000" w:rsidRPr="00832C47" w:rsidP="00832C47">
      <w:pPr>
        <w:pStyle w:val="ListBullet"/>
      </w:pPr>
      <w:r w:rsidRPr="00832C47">
        <w:t>different types of HEVs and PHEVs, including:</w:t>
      </w:r>
    </w:p>
    <w:p w:rsidR="00000000" w:rsidRPr="00832C47" w:rsidP="00832C47">
      <w:pPr>
        <w:pStyle w:val="ListBullet2"/>
      </w:pPr>
      <w:r w:rsidRPr="00832C47">
        <w:t xml:space="preserve">series, parallel and series parallel </w:t>
      </w:r>
    </w:p>
    <w:p w:rsidR="00000000" w:rsidRPr="00832C47" w:rsidP="00832C47">
      <w:pPr>
        <w:pStyle w:val="ListBullet2"/>
      </w:pPr>
      <w:r w:rsidRPr="00832C47">
        <w:t>strong, mid or weak hybrid systems</w:t>
      </w:r>
    </w:p>
    <w:p w:rsidR="00000000" w:rsidRPr="00832C47" w:rsidP="00832C47">
      <w:pPr>
        <w:pStyle w:val="ListBullet"/>
      </w:pPr>
      <w:r w:rsidRPr="00832C47">
        <w:t>operating principles of RESS and battery management system (BMS)</w:t>
      </w:r>
    </w:p>
    <w:p w:rsidR="00000000" w:rsidRPr="00832C47" w:rsidP="00832C47">
      <w:pPr>
        <w:pStyle w:val="ListBullet"/>
      </w:pPr>
      <w:r w:rsidRPr="00832C47">
        <w:t>key characteristics of HV battery charger and direct current (DC) to DC converter</w:t>
      </w:r>
    </w:p>
    <w:p w:rsidR="00000000" w:rsidRPr="00832C47" w:rsidP="00832C47">
      <w:pPr>
        <w:pStyle w:val="ListBullet"/>
      </w:pPr>
      <w:r w:rsidRPr="00832C47">
        <w:t>operating principles of power distribution unit (PDU).</w:t>
      </w:r>
    </w:p>
    <w:p w:rsidR="00000000" w:rsidRPr="00832C47" w:rsidP="00832C47">
      <w:pPr>
        <w:pStyle w:val="AllowPageBreak"/>
      </w:pPr>
    </w:p>
    <w:p w:rsidR="00000000" w:rsidRPr="00832C47" w:rsidP="00832C47">
      <w:pPr>
        <w:pStyle w:val="Heading1"/>
      </w:pPr>
      <w:bookmarkStart w:id="4" w:name="O_794323"/>
      <w:bookmarkEnd w:id="4"/>
      <w:r w:rsidRPr="00832C47">
        <w:t>Assessment Conditions</w:t>
      </w:r>
    </w:p>
    <w:p w:rsidR="00000000" w:rsidRPr="00832C47" w:rsidP="000C17F7">
      <w:pPr>
        <w:pStyle w:val="BodyText"/>
      </w:pPr>
      <w:r w:rsidRPr="00832C47">
        <w:t xml:space="preserve">Assessors must </w:t>
      </w:r>
      <w:r w:rsidRPr="00832C47">
        <w:t>satisfy NVR/AQTF assessor requirements.</w:t>
      </w:r>
    </w:p>
    <w:p w:rsidR="00000000" w:rsidRPr="00832C47" w:rsidP="000C17F7">
      <w:pPr>
        <w:pStyle w:val="BodyText"/>
      </w:pPr>
      <w:r w:rsidRPr="00832C47">
        <w:t>Competency is to be assessed in the workplace or a simulated environment that accurately reflects performance in a real workplace setting.</w:t>
      </w:r>
    </w:p>
    <w:p w:rsidR="00000000" w:rsidRPr="00832C47" w:rsidP="000C17F7">
      <w:pPr>
        <w:pStyle w:val="BodyText"/>
      </w:pPr>
      <w:r w:rsidRPr="00832C47">
        <w:t>Assessment must include direct observation of tasks.</w:t>
      </w:r>
    </w:p>
    <w:p w:rsidR="00000000" w:rsidRPr="00832C47" w:rsidP="000C17F7">
      <w:pPr>
        <w:pStyle w:val="BodyText"/>
      </w:pPr>
      <w:r w:rsidRPr="00832C47">
        <w:t>Where assessment of c</w:t>
      </w:r>
      <w:r w:rsidRPr="00832C47">
        <w:t>ompetency includes third-party evidence, individuals must provide evidence that links them to the electrical systems and components they have serviced and maintained in HEVs or PHEVs, e.g. repair orders.</w:t>
      </w:r>
    </w:p>
    <w:p w:rsidR="00000000" w:rsidRPr="00832C47" w:rsidP="000C17F7">
      <w:pPr>
        <w:pStyle w:val="BodyText"/>
      </w:pPr>
      <w:r w:rsidRPr="00832C47">
        <w:t>Assessors must verify performance evidence through questioning on skills and knowledge to ensure correct interpretation and application.</w:t>
      </w:r>
    </w:p>
    <w:p w:rsidR="00000000" w:rsidRPr="00832C47" w:rsidP="000C17F7">
      <w:pPr>
        <w:pStyle w:val="BodyText"/>
      </w:pPr>
      <w:r w:rsidRPr="00832C47">
        <w:t>The following resources must be made available:</w:t>
      </w:r>
    </w:p>
    <w:p w:rsidR="00000000" w:rsidRPr="00832C47" w:rsidP="00832C47">
      <w:pPr>
        <w:pStyle w:val="ListBullet"/>
      </w:pPr>
      <w:r w:rsidRPr="00832C47">
        <w:t>automotive repair workplace or simulated workplace</w:t>
      </w:r>
    </w:p>
    <w:p w:rsidR="00000000" w:rsidRPr="00832C47" w:rsidP="00832C47">
      <w:pPr>
        <w:pStyle w:val="ListBullet"/>
      </w:pPr>
      <w:r w:rsidRPr="00832C47">
        <w:t>PPE, including ele</w:t>
      </w:r>
      <w:r w:rsidRPr="00832C47">
        <w:t>ctrical safety gloves with 1000 volt rating and Australian standards rated HV insulating mat</w:t>
      </w:r>
    </w:p>
    <w:p w:rsidR="00000000" w:rsidRPr="00832C47" w:rsidP="00832C47">
      <w:pPr>
        <w:pStyle w:val="ListBullet"/>
      </w:pPr>
      <w:r w:rsidRPr="00832C47">
        <w:t>manufacturer specifications and service procedures for the HEVs or PHEVs being worked on</w:t>
      </w:r>
    </w:p>
    <w:p w:rsidR="00000000" w:rsidRPr="00832C47" w:rsidP="00832C47">
      <w:pPr>
        <w:pStyle w:val="ListBullet"/>
      </w:pPr>
      <w:r w:rsidRPr="00832C47">
        <w:t xml:space="preserve">AS 5732 Electric vehicle operations - Maintenance and repair </w:t>
      </w:r>
    </w:p>
    <w:p w:rsidR="00000000" w:rsidRPr="00832C47" w:rsidP="00832C47">
      <w:pPr>
        <w:pStyle w:val="ListBullet"/>
      </w:pPr>
      <w:r w:rsidRPr="00832C47">
        <w:t>two differen</w:t>
      </w:r>
      <w:r w:rsidRPr="00832C47">
        <w:t>t operational HEVs or PHEVs requiring service and maintenance</w:t>
      </w:r>
    </w:p>
    <w:p w:rsidR="00000000" w:rsidRPr="00832C47" w:rsidP="00832C47">
      <w:pPr>
        <w:pStyle w:val="ListBullet"/>
      </w:pPr>
      <w:r w:rsidRPr="00832C47">
        <w:t>electrical test equipment appropriate to the HEVs and PHEVs being serviced, including:</w:t>
      </w:r>
    </w:p>
    <w:p w:rsidR="00000000" w:rsidRPr="00832C47" w:rsidP="00832C47">
      <w:pPr>
        <w:pStyle w:val="ListBullet2"/>
      </w:pPr>
      <w:r w:rsidRPr="00832C47">
        <w:t>digital multimeter with Cat III 1000 volt rating</w:t>
      </w:r>
    </w:p>
    <w:p w:rsidR="00000000" w:rsidRPr="00832C47" w:rsidP="00832C47">
      <w:pPr>
        <w:pStyle w:val="ListBullet2"/>
      </w:pPr>
      <w:r w:rsidRPr="00832C47">
        <w:t>insulation tester</w:t>
      </w:r>
    </w:p>
    <w:p w:rsidR="00000000" w:rsidRPr="00832C47" w:rsidP="00832C47">
      <w:pPr>
        <w:pStyle w:val="ListBullet2"/>
      </w:pPr>
      <w:r w:rsidRPr="00832C47">
        <w:t>residual voltage tester, if specified i</w:t>
      </w:r>
      <w:r w:rsidRPr="00832C47">
        <w:t>n original equipment manufacturer (OEM) test requirements</w:t>
      </w:r>
    </w:p>
    <w:p w:rsidR="00000000" w:rsidRPr="00832C47" w:rsidP="00832C47">
      <w:pPr>
        <w:pStyle w:val="ListBullet2"/>
      </w:pPr>
      <w:r w:rsidRPr="00832C47">
        <w:t>scan tool</w:t>
      </w:r>
    </w:p>
    <w:p w:rsidR="00000000" w:rsidRPr="00832C47" w:rsidP="00832C47">
      <w:pPr>
        <w:pStyle w:val="ListBullet"/>
      </w:pPr>
      <w:r w:rsidRPr="00832C47">
        <w:t>tools, equipment and materials appropriate for servicing and maintaining HEVs and PHEVs.</w:t>
      </w:r>
    </w:p>
    <w:p w:rsidR="00000000" w:rsidRPr="00832C47" w:rsidP="00832C47">
      <w:pPr>
        <w:pStyle w:val="AllowPageBreak"/>
      </w:pPr>
    </w:p>
    <w:p w:rsidR="00000000" w:rsidRPr="00832C47" w:rsidP="00832C47">
      <w:pPr>
        <w:pStyle w:val="Heading1"/>
      </w:pPr>
      <w:bookmarkStart w:id="5" w:name="O_794326"/>
      <w:bookmarkEnd w:id="5"/>
      <w:r w:rsidRPr="00832C47">
        <w:t>Links</w:t>
      </w:r>
    </w:p>
    <w:p w:rsidR="00000000" w:rsidRPr="00832C47" w:rsidP="000C17F7">
      <w:pPr>
        <w:pStyle w:val="BodyText"/>
      </w:pPr>
      <w:r w:rsidRPr="00832C47">
        <w:t>Companion Volume implementation guides are found in VETNet</w:t>
      </w:r>
      <w:r w:rsidRPr="00832C47">
        <w:t xml:space="preserve">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5294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32C47" w:rsidP="000C17F7">
      <w:pPr>
        <w:pStyle w:val="BodyText"/>
      </w:pPr>
      <w:r w:rsidRPr="00832C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5294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32C47" w:rsidP="00832C47"/>
    <w:sectPr w:rsidSect="00832C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47" w:rsidRPr="000C17F7" w:rsidP="000C1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F7" w:rsidP="00832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17F7" w:rsidP="00832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C17F7" w:rsidP="00832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C47" w:rsidRPr="000C17F7" w:rsidP="000C1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F7" w:rsidRPr="002D2AF8" w:rsidP="00832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AURETH012 Service and maintain electrical components in hybrid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C17F7" w:rsidP="00832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0453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941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2EF9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C47"/>
  </w:style>
  <w:style w:type="character" w:customStyle="1" w:styleId="Heading1Char">
    <w:name w:val="Heading 1 Char"/>
    <w:basedOn w:val="DefaultParagraphFont"/>
    <w:link w:val="Heading1"/>
    <w:rsid w:val="00832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C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C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C47"/>
    <w:rPr>
      <w:b/>
      <w:spacing w:val="0"/>
    </w:rPr>
  </w:style>
  <w:style w:type="paragraph" w:styleId="ListBullet2">
    <w:name w:val="List Bullet 2"/>
    <w:basedOn w:val="List2"/>
    <w:rsid w:val="00832C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32C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32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C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C47"/>
    <w:rPr>
      <w:i/>
    </w:rPr>
  </w:style>
  <w:style w:type="paragraph" w:styleId="Caption">
    <w:name w:val="caption"/>
    <w:basedOn w:val="BodyText"/>
    <w:next w:val="Normal"/>
    <w:qFormat/>
    <w:rsid w:val="00832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C47"/>
  </w:style>
  <w:style w:type="paragraph" w:styleId="TableofFigures">
    <w:name w:val="table of figures"/>
    <w:basedOn w:val="Normal"/>
    <w:next w:val="Normal"/>
    <w:semiHidden/>
    <w:rsid w:val="00832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C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32C47"/>
    <w:rPr>
      <w:rFonts w:ascii="Wingdings" w:hAnsi="Wingdings"/>
    </w:rPr>
  </w:style>
  <w:style w:type="paragraph" w:customStyle="1" w:styleId="TableHeading">
    <w:name w:val="Table Heading"/>
    <w:basedOn w:val="HeadingBase"/>
    <w:rsid w:val="00832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C47"/>
    <w:rPr>
      <w:color w:val="0033CC"/>
      <w:u w:val="none"/>
    </w:rPr>
  </w:style>
  <w:style w:type="paragraph" w:customStyle="1" w:styleId="BodyTextRight">
    <w:name w:val="Body Text Right"/>
    <w:basedOn w:val="BodyText"/>
    <w:rsid w:val="00832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C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C47"/>
    <w:rPr>
      <w:sz w:val="32"/>
    </w:rPr>
  </w:style>
  <w:style w:type="paragraph" w:customStyle="1" w:styleId="HeadingProcedure">
    <w:name w:val="Heading Procedure"/>
    <w:basedOn w:val="HeadingBase"/>
    <w:next w:val="Normal"/>
    <w:rsid w:val="00832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C47"/>
    <w:pPr>
      <w:spacing w:before="60" w:after="60"/>
    </w:pPr>
  </w:style>
  <w:style w:type="paragraph" w:styleId="ListContinue">
    <w:name w:val="List Continue"/>
    <w:basedOn w:val="List"/>
    <w:rsid w:val="00832C47"/>
    <w:pPr>
      <w:ind w:firstLine="0"/>
    </w:pPr>
  </w:style>
  <w:style w:type="paragraph" w:customStyle="1" w:styleId="ListNote">
    <w:name w:val="List Note"/>
    <w:basedOn w:val="List"/>
    <w:rsid w:val="00832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C47"/>
    <w:rPr>
      <w:rFonts w:ascii="Courier New" w:hAnsi="Courier New"/>
    </w:rPr>
  </w:style>
  <w:style w:type="paragraph" w:customStyle="1" w:styleId="NoteBullet">
    <w:name w:val="Note Bullet"/>
    <w:basedOn w:val="Note"/>
    <w:rsid w:val="00832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C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2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C47"/>
    <w:rPr>
      <w:b/>
      <w:smallCaps/>
    </w:rPr>
  </w:style>
  <w:style w:type="paragraph" w:customStyle="1" w:styleId="TableListNumber">
    <w:name w:val="Table List Number"/>
    <w:basedOn w:val="ListNumber"/>
    <w:rsid w:val="00832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C47"/>
    <w:pPr>
      <w:numPr>
        <w:numId w:val="10"/>
      </w:numPr>
    </w:pPr>
  </w:style>
  <w:style w:type="paragraph" w:customStyle="1" w:styleId="ListAlpha2">
    <w:name w:val="List Alpha 2"/>
    <w:basedOn w:val="List2"/>
    <w:rsid w:val="00832C47"/>
    <w:pPr>
      <w:numPr>
        <w:numId w:val="9"/>
      </w:numPr>
    </w:pPr>
  </w:style>
  <w:style w:type="paragraph" w:styleId="List2">
    <w:name w:val="List 2"/>
    <w:basedOn w:val="BodyText"/>
    <w:rsid w:val="00832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C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32C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32C47"/>
    <w:pPr>
      <w:numPr>
        <w:numId w:val="5"/>
      </w:numPr>
    </w:pPr>
  </w:style>
  <w:style w:type="paragraph" w:styleId="ListContinue2">
    <w:name w:val="List Continue 2"/>
    <w:basedOn w:val="List2"/>
    <w:rsid w:val="00832C47"/>
    <w:pPr>
      <w:ind w:firstLine="0"/>
    </w:pPr>
  </w:style>
  <w:style w:type="paragraph" w:styleId="ListContinue3">
    <w:name w:val="List Continue 3"/>
    <w:basedOn w:val="List3"/>
    <w:rsid w:val="00832C47"/>
    <w:pPr>
      <w:ind w:left="1021" w:firstLine="0"/>
    </w:pPr>
  </w:style>
  <w:style w:type="paragraph" w:styleId="ListContinue4">
    <w:name w:val="List Continue 4"/>
    <w:basedOn w:val="List4"/>
    <w:rsid w:val="00832C47"/>
    <w:pPr>
      <w:ind w:firstLine="0"/>
    </w:pPr>
  </w:style>
  <w:style w:type="paragraph" w:styleId="ListContinue5">
    <w:name w:val="List Continue 5"/>
    <w:basedOn w:val="List5"/>
    <w:rsid w:val="00832C47"/>
    <w:pPr>
      <w:ind w:firstLine="0"/>
    </w:pPr>
  </w:style>
  <w:style w:type="paragraph" w:styleId="ListNumber3">
    <w:name w:val="List Number 3"/>
    <w:basedOn w:val="List3"/>
    <w:rsid w:val="00832C47"/>
    <w:pPr>
      <w:numPr>
        <w:numId w:val="6"/>
      </w:numPr>
    </w:pPr>
  </w:style>
  <w:style w:type="paragraph" w:styleId="ListNumber4">
    <w:name w:val="List Number 4"/>
    <w:basedOn w:val="List4"/>
    <w:rsid w:val="00832C47"/>
    <w:pPr>
      <w:numPr>
        <w:numId w:val="7"/>
      </w:numPr>
    </w:pPr>
  </w:style>
  <w:style w:type="paragraph" w:styleId="ListNumber5">
    <w:name w:val="List Number 5"/>
    <w:basedOn w:val="List5"/>
    <w:rsid w:val="00832C47"/>
    <w:pPr>
      <w:numPr>
        <w:numId w:val="8"/>
      </w:numPr>
    </w:pPr>
  </w:style>
  <w:style w:type="paragraph" w:styleId="BlockText">
    <w:name w:val="Block Text"/>
    <w:basedOn w:val="Normal"/>
    <w:rsid w:val="00832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C47"/>
    <w:rPr>
      <w:sz w:val="16"/>
      <w:vertAlign w:val="superscript"/>
    </w:rPr>
  </w:style>
  <w:style w:type="character" w:customStyle="1" w:styleId="Symbols">
    <w:name w:val="Symbols"/>
    <w:basedOn w:val="DefaultParagraphFont"/>
    <w:rsid w:val="00832C47"/>
    <w:rPr>
      <w:rFonts w:ascii="Symbol" w:hAnsi="Symbol"/>
    </w:rPr>
  </w:style>
  <w:style w:type="character" w:customStyle="1" w:styleId="MenuOptions">
    <w:name w:val="Menu Options"/>
    <w:basedOn w:val="DefaultParagraphFont"/>
    <w:rsid w:val="00832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C47"/>
    <w:rPr>
      <w:b/>
    </w:rPr>
  </w:style>
  <w:style w:type="character" w:customStyle="1" w:styleId="Underlined">
    <w:name w:val="Underlined"/>
    <w:basedOn w:val="DefaultParagraphFont"/>
    <w:rsid w:val="00832C47"/>
    <w:rPr>
      <w:u w:val="single"/>
    </w:rPr>
  </w:style>
  <w:style w:type="paragraph" w:customStyle="1" w:styleId="TableBodyTextRight">
    <w:name w:val="Table Body Text Right"/>
    <w:basedOn w:val="TableBodyText"/>
    <w:rsid w:val="00832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C47"/>
    <w:rPr>
      <w:sz w:val="18"/>
    </w:rPr>
  </w:style>
  <w:style w:type="paragraph" w:customStyle="1" w:styleId="BodySmallRight">
    <w:name w:val="Body Small Right"/>
    <w:basedOn w:val="BodyTextRight"/>
    <w:rsid w:val="00832C47"/>
    <w:rPr>
      <w:sz w:val="18"/>
      <w:szCs w:val="18"/>
    </w:rPr>
  </w:style>
  <w:style w:type="paragraph" w:customStyle="1" w:styleId="MarginEdition">
    <w:name w:val="Margin Edition"/>
    <w:basedOn w:val="MarginNote"/>
    <w:rsid w:val="00832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C47"/>
    <w:rPr>
      <w:sz w:val="2"/>
      <w:szCs w:val="2"/>
    </w:rPr>
  </w:style>
  <w:style w:type="character" w:customStyle="1" w:styleId="Small">
    <w:name w:val="Small"/>
    <w:basedOn w:val="DefaultParagraphFont"/>
    <w:rsid w:val="00832C47"/>
    <w:rPr>
      <w:sz w:val="16"/>
    </w:rPr>
  </w:style>
  <w:style w:type="paragraph" w:customStyle="1" w:styleId="WideTable">
    <w:name w:val="Wide Table"/>
    <w:basedOn w:val="Normal"/>
    <w:rsid w:val="00832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C47"/>
  </w:style>
  <w:style w:type="paragraph" w:styleId="Quote">
    <w:name w:val="Quote"/>
    <w:basedOn w:val="Heading1"/>
    <w:link w:val="QuoteChar"/>
    <w:qFormat/>
    <w:rsid w:val="00832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C47"/>
    <w:pPr>
      <w:pageBreakBefore/>
    </w:pPr>
  </w:style>
  <w:style w:type="paragraph" w:customStyle="1" w:styleId="Border">
    <w:name w:val="Border"/>
    <w:basedOn w:val="Normal"/>
    <w:qFormat/>
    <w:rsid w:val="00832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C47"/>
    <w:rPr>
      <w:u w:val="single"/>
    </w:rPr>
  </w:style>
  <w:style w:type="character" w:customStyle="1" w:styleId="BoldandItalics">
    <w:name w:val="Bold and Italics"/>
    <w:qFormat/>
    <w:rsid w:val="00832C47"/>
    <w:rPr>
      <w:b/>
      <w:i/>
      <w:u w:val="none"/>
    </w:rPr>
  </w:style>
  <w:style w:type="paragraph" w:styleId="BalloonText">
    <w:name w:val="Balloon Text"/>
    <w:basedOn w:val="Normal"/>
    <w:link w:val="BalloonTextChar"/>
    <w:rsid w:val="00832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C47"/>
    <w:pPr>
      <w:spacing w:before="0" w:after="0"/>
    </w:pPr>
  </w:style>
  <w:style w:type="paragraph" w:customStyle="1" w:styleId="BodyTextBold">
    <w:name w:val="Body Text Bold"/>
    <w:basedOn w:val="BodyText"/>
    <w:qFormat/>
    <w:rsid w:val="00832C47"/>
    <w:rPr>
      <w:b/>
    </w:rPr>
  </w:style>
  <w:style w:type="character" w:styleId="Hyperlink">
    <w:name w:val="Hyperlink"/>
    <w:basedOn w:val="DefaultParagraphFont"/>
    <w:uiPriority w:val="99"/>
    <w:unhideWhenUsed/>
    <w:rsid w:val="000C1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3850</Characters>
  <Application>Microsoft Office Word</Application>
  <DocSecurity>0</DocSecurity>
  <Lines>104</Lines>
  <Paragraphs>78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AURETH012 Service and maintain electrical components in hybrid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