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38D" w:rsidP="00A0638D">
      <w:pPr>
        <w:pStyle w:val="Title"/>
      </w:pPr>
      <w:r>
        <w:fldChar w:fldCharType="begin"/>
      </w:r>
      <w:r>
        <w:instrText xml:space="preserve"> TITLE   \* MERGEFORMAT </w:instrText>
      </w:r>
      <w:r>
        <w:fldChar w:fldCharType="separate"/>
      </w:r>
      <w:r>
        <w:t>Assessment Requirements for AURETH009 Diagnose and repair DC to DC converters in battery electric vehicles</w:t>
      </w:r>
      <w:r>
        <w:fldChar w:fldCharType="end"/>
      </w:r>
    </w:p>
    <w:p w:rsidR="00A0638D" w:rsidP="00A0638D">
      <w:pPr>
        <w:pStyle w:val="Version"/>
        <w:sectPr w:rsidSect="006527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73D" w:rsidP="0065273D">
      <w:pPr>
        <w:pStyle w:val="SuperHeading"/>
      </w:pPr>
      <w:r w:rsidRPr="0065273D">
        <w:t>Assessment Requirements for AURETH009 Diagnose and repair DC to DC converters in battery electric vehicles</w:t>
      </w:r>
    </w:p>
    <w:p w:rsidR="00000000" w:rsidRPr="0065273D" w:rsidP="0065273D">
      <w:pPr>
        <w:pStyle w:val="Heading1"/>
      </w:pPr>
      <w:bookmarkStart w:id="1" w:name="O_771330"/>
      <w:bookmarkEnd w:id="1"/>
      <w:r w:rsidRPr="0065273D">
        <w:t>Modification History</w:t>
      </w:r>
    </w:p>
    <w:tbl>
      <w:tblPr>
        <w:tblW w:w="9639" w:type="dxa"/>
        <w:tblLayout w:type="fixed"/>
        <w:tblCellMar>
          <w:left w:w="62" w:type="dxa"/>
          <w:right w:w="62" w:type="dxa"/>
        </w:tblCellMar>
        <w:tblLook w:val="0000"/>
      </w:tblPr>
      <w:tblGrid>
        <w:gridCol w:w="2835"/>
        <w:gridCol w:w="6804"/>
      </w:tblGrid>
      <w:tr w:rsidTr="00A0638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73D" w:rsidP="0065273D">
            <w:pPr>
              <w:pStyle w:val="BodyText"/>
            </w:pPr>
            <w:r w:rsidRPr="0065273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73D">
            <w:pPr>
              <w:pStyle w:val="BodyText"/>
              <w:rPr>
                <w:lang w:val="en-NZ"/>
              </w:rPr>
            </w:pPr>
            <w:r w:rsidRPr="0065273D">
              <w:rPr>
                <w:rStyle w:val="SpecialBold"/>
              </w:rPr>
              <w:t>Comment</w:t>
            </w:r>
          </w:p>
        </w:tc>
      </w:tr>
      <w:tr w:rsidTr="00A0638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73D">
            <w:pPr>
              <w:pStyle w:val="BodyText"/>
              <w:rPr>
                <w:lang w:val="en-NZ"/>
              </w:rPr>
            </w:pPr>
            <w:r w:rsidRPr="0065273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73D" w:rsidP="0065273D">
            <w:pPr>
              <w:pStyle w:val="BodyText"/>
            </w:pPr>
            <w:r w:rsidRPr="0065273D">
              <w:t>New unit of competency.</w:t>
            </w:r>
          </w:p>
        </w:tc>
      </w:tr>
    </w:tbl>
    <w:p w:rsidR="00000000" w:rsidRPr="0065273D" w:rsidP="0065273D">
      <w:pPr>
        <w:pStyle w:val="BodyText"/>
      </w:pPr>
    </w:p>
    <w:p w:rsidR="00000000" w:rsidRPr="0065273D" w:rsidP="0065273D">
      <w:pPr>
        <w:pStyle w:val="AllowPageBreak"/>
      </w:pPr>
    </w:p>
    <w:p w:rsidR="00000000" w:rsidRPr="0065273D" w:rsidP="0065273D">
      <w:pPr>
        <w:pStyle w:val="Heading1"/>
      </w:pPr>
      <w:bookmarkStart w:id="2" w:name="O_771331"/>
      <w:bookmarkEnd w:id="2"/>
      <w:r w:rsidRPr="0065273D">
        <w:t>Performance Evidence</w:t>
      </w:r>
    </w:p>
    <w:p w:rsidR="00000000" w:rsidRPr="0065273D" w:rsidP="00A0638D">
      <w:pPr>
        <w:pStyle w:val="BodyText"/>
      </w:pPr>
      <w:r w:rsidRPr="0065273D">
        <w:t>Before competency can be determined, individuals must demonstrate they can perform the following according to the standard defined in the unit’s elements and performance criteria, range of conditions and foundation skills:</w:t>
      </w:r>
    </w:p>
    <w:p w:rsidR="00000000" w:rsidRPr="0065273D" w:rsidP="0065273D">
      <w:pPr>
        <w:pStyle w:val="ListBullet"/>
      </w:pPr>
      <w:r w:rsidRPr="0065273D">
        <w:t>diagnose and repair the DC to DC</w:t>
      </w:r>
      <w:r w:rsidRPr="0065273D">
        <w:t xml:space="preserve"> converter and its system components on two different battery electric vehicles (BEVs) to correct performance deficiencies.</w:t>
      </w:r>
    </w:p>
    <w:p w:rsidR="00000000" w:rsidRPr="0065273D" w:rsidP="0065273D">
      <w:pPr>
        <w:pStyle w:val="AllowPageBreak"/>
      </w:pPr>
    </w:p>
    <w:p w:rsidR="00000000" w:rsidRPr="0065273D" w:rsidP="0065273D">
      <w:pPr>
        <w:pStyle w:val="Heading1"/>
      </w:pPr>
      <w:bookmarkStart w:id="3" w:name="O_771332"/>
      <w:bookmarkEnd w:id="3"/>
      <w:r w:rsidRPr="0065273D">
        <w:t>Knowledge Evidence</w:t>
      </w:r>
    </w:p>
    <w:p w:rsidR="00000000" w:rsidRPr="0065273D" w:rsidP="00A0638D">
      <w:pPr>
        <w:pStyle w:val="BodyText"/>
      </w:pPr>
      <w:r w:rsidRPr="0065273D">
        <w:t>Individuals must be able to demonstrate knowledge of:</w:t>
      </w:r>
    </w:p>
    <w:p w:rsidR="00000000" w:rsidRPr="0065273D" w:rsidP="0065273D">
      <w:pPr>
        <w:pStyle w:val="ListBullet"/>
      </w:pPr>
      <w:r w:rsidRPr="0065273D">
        <w:t>work health and safety (WHS) and occupational health and safety (OHS) requirements relating to diagnosing and repairing DC to DC converters in BEVs, including procedures for:</w:t>
      </w:r>
    </w:p>
    <w:p w:rsidR="00000000" w:rsidRPr="0065273D" w:rsidP="0065273D">
      <w:pPr>
        <w:pStyle w:val="ListBullet2"/>
      </w:pPr>
      <w:r w:rsidRPr="0065273D">
        <w:t>identifying hazards and controlling risks associated with:</w:t>
      </w:r>
    </w:p>
    <w:p w:rsidR="00000000" w:rsidRPr="0065273D" w:rsidP="0065273D">
      <w:pPr>
        <w:pStyle w:val="ListBullet3"/>
      </w:pPr>
      <w:r w:rsidRPr="0065273D">
        <w:t>working with high vo</w:t>
      </w:r>
      <w:r w:rsidRPr="0065273D">
        <w:t>ltages in BEV electrical systems</w:t>
      </w:r>
    </w:p>
    <w:p w:rsidR="00000000" w:rsidRPr="0065273D" w:rsidP="0065273D">
      <w:pPr>
        <w:pStyle w:val="ListBullet3"/>
      </w:pPr>
      <w:r w:rsidRPr="0065273D">
        <w:t>wearing jewellery while working around high electrical currents</w:t>
      </w:r>
    </w:p>
    <w:p w:rsidR="00000000" w:rsidRPr="0065273D" w:rsidP="0065273D">
      <w:pPr>
        <w:pStyle w:val="ListBullet2"/>
      </w:pPr>
      <w:r w:rsidRPr="0065273D">
        <w:t>determining appropriate procedures for minimising risk associated with hazards, including applying electrical safety precautions:</w:t>
      </w:r>
    </w:p>
    <w:p w:rsidR="00000000" w:rsidRPr="0065273D" w:rsidP="0065273D">
      <w:pPr>
        <w:pStyle w:val="ListBullet3"/>
      </w:pPr>
      <w:r w:rsidRPr="0065273D">
        <w:t>using personal protective equipment (PPE), including electrical safety gloves with 1000 volt rating and high voltage (HV) insulating mat with Australian standards rating</w:t>
      </w:r>
    </w:p>
    <w:p w:rsidR="00000000" w:rsidRPr="0065273D" w:rsidP="0065273D">
      <w:pPr>
        <w:pStyle w:val="ListBullet3"/>
      </w:pPr>
      <w:r w:rsidRPr="0065273D">
        <w:t>identifying and using fire safety equipment as appropriate</w:t>
      </w:r>
    </w:p>
    <w:p w:rsidR="00000000" w:rsidRPr="0065273D" w:rsidP="0065273D">
      <w:pPr>
        <w:pStyle w:val="ListBullet3"/>
      </w:pPr>
      <w:r w:rsidRPr="0065273D">
        <w:t>using the ‘one hand rule’</w:t>
      </w:r>
    </w:p>
    <w:p w:rsidR="00000000" w:rsidRPr="0065273D" w:rsidP="0065273D">
      <w:pPr>
        <w:pStyle w:val="ListBullet3"/>
      </w:pPr>
      <w:r w:rsidRPr="0065273D">
        <w:t>f</w:t>
      </w:r>
      <w:r w:rsidRPr="0065273D">
        <w:t>ollowing live system warning tags and signs</w:t>
      </w:r>
    </w:p>
    <w:p w:rsidR="00000000" w:rsidRPr="0065273D" w:rsidP="0065273D">
      <w:pPr>
        <w:pStyle w:val="ListBullet3"/>
      </w:pPr>
      <w:r w:rsidRPr="0065273D">
        <w:t>depowering the vehicle</w:t>
      </w:r>
    </w:p>
    <w:p w:rsidR="00000000" w:rsidRPr="0065273D" w:rsidP="0065273D">
      <w:pPr>
        <w:pStyle w:val="ListBullet3"/>
      </w:pPr>
      <w:r w:rsidRPr="0065273D">
        <w:t>isolating the HV rechargeable energy storage system (RESS) electrical supply</w:t>
      </w:r>
    </w:p>
    <w:p w:rsidR="00000000" w:rsidRPr="0065273D" w:rsidP="0065273D">
      <w:pPr>
        <w:pStyle w:val="ListBullet3"/>
      </w:pPr>
      <w:r w:rsidRPr="0065273D">
        <w:t>stabilising the vehicle electrical system</w:t>
      </w:r>
    </w:p>
    <w:p w:rsidR="00000000" w:rsidRPr="0065273D" w:rsidP="0065273D">
      <w:pPr>
        <w:pStyle w:val="ListBullet"/>
      </w:pPr>
      <w:r w:rsidRPr="0065273D">
        <w:t>environmental requirements, including procedures for trapping, storin</w:t>
      </w:r>
      <w:r w:rsidRPr="0065273D">
        <w:t>g and disposing of waste produced during repair work</w:t>
      </w:r>
    </w:p>
    <w:p w:rsidR="00000000" w:rsidRPr="0065273D" w:rsidP="0065273D">
      <w:pPr>
        <w:pStyle w:val="ListBullet"/>
      </w:pPr>
      <w:r w:rsidRPr="0065273D">
        <w:t>key requirements of AS 5732 Electric vehicle operations: Maintenance and repair</w:t>
      </w:r>
    </w:p>
    <w:p w:rsidR="00000000" w:rsidRPr="0065273D" w:rsidP="0065273D">
      <w:pPr>
        <w:pStyle w:val="ListBullet"/>
      </w:pPr>
      <w:r w:rsidRPr="0065273D">
        <w:t>operating principles of DC to DC converters and associated components, including:</w:t>
      </w:r>
    </w:p>
    <w:p w:rsidR="00000000" w:rsidRPr="0065273D" w:rsidP="0065273D">
      <w:pPr>
        <w:pStyle w:val="ListBullet2"/>
      </w:pPr>
      <w:r w:rsidRPr="0065273D">
        <w:t>step-down converters</w:t>
      </w:r>
    </w:p>
    <w:p w:rsidR="00000000" w:rsidRPr="0065273D" w:rsidP="0065273D">
      <w:pPr>
        <w:pStyle w:val="ListBullet2"/>
      </w:pPr>
      <w:r w:rsidRPr="0065273D">
        <w:t>step-up converters</w:t>
      </w:r>
    </w:p>
    <w:p w:rsidR="00000000" w:rsidRPr="0065273D" w:rsidP="0065273D">
      <w:pPr>
        <w:pStyle w:val="ListBullet2"/>
      </w:pPr>
      <w:r w:rsidRPr="0065273D">
        <w:t>continuous current mode</w:t>
      </w:r>
    </w:p>
    <w:p w:rsidR="00000000" w:rsidRPr="0065273D" w:rsidP="0065273D">
      <w:pPr>
        <w:pStyle w:val="ListBullet2"/>
      </w:pPr>
      <w:r w:rsidRPr="0065273D">
        <w:t>discontinuous current mode</w:t>
      </w:r>
    </w:p>
    <w:p w:rsidR="00000000" w:rsidRPr="0065273D" w:rsidP="0065273D">
      <w:pPr>
        <w:pStyle w:val="ListBullet2"/>
      </w:pPr>
      <w:r w:rsidRPr="0065273D">
        <w:t>signal noise, including radio frequency (RF) noise, input noise and output noise</w:t>
      </w:r>
    </w:p>
    <w:p w:rsidR="00000000" w:rsidRPr="0065273D" w:rsidP="0065273D">
      <w:pPr>
        <w:pStyle w:val="ListBullet"/>
      </w:pPr>
      <w:r w:rsidRPr="0065273D">
        <w:t>application, purpose and operation of DC to DC converters and components, including:</w:t>
      </w:r>
    </w:p>
    <w:p w:rsidR="00000000" w:rsidRPr="0065273D" w:rsidP="0065273D">
      <w:pPr>
        <w:pStyle w:val="ListBullet2"/>
      </w:pPr>
      <w:r w:rsidRPr="0065273D">
        <w:t>linear converters</w:t>
      </w:r>
    </w:p>
    <w:p w:rsidR="00000000" w:rsidRPr="0065273D" w:rsidP="0065273D">
      <w:pPr>
        <w:pStyle w:val="ListBullet2"/>
      </w:pPr>
      <w:r w:rsidRPr="0065273D">
        <w:t>switched mode conve</w:t>
      </w:r>
      <w:r w:rsidRPr="0065273D">
        <w:t>rsion</w:t>
      </w:r>
    </w:p>
    <w:p w:rsidR="00000000" w:rsidRPr="0065273D" w:rsidP="0065273D">
      <w:pPr>
        <w:pStyle w:val="ListBullet2"/>
      </w:pPr>
      <w:r w:rsidRPr="0065273D">
        <w:t>magnetic converters</w:t>
      </w:r>
    </w:p>
    <w:p w:rsidR="00000000" w:rsidRPr="0065273D" w:rsidP="0065273D">
      <w:pPr>
        <w:pStyle w:val="ListBullet2"/>
      </w:pPr>
      <w:r w:rsidRPr="0065273D">
        <w:t>capacitive converters</w:t>
      </w:r>
    </w:p>
    <w:p w:rsidR="00000000" w:rsidRPr="0065273D" w:rsidP="0065273D">
      <w:pPr>
        <w:pStyle w:val="ListBullet"/>
      </w:pPr>
      <w:r w:rsidRPr="0065273D">
        <w:t>diagnostic testing procedures for DC to DC converters, including:</w:t>
      </w:r>
    </w:p>
    <w:p w:rsidR="00000000" w:rsidRPr="0065273D" w:rsidP="0065273D">
      <w:pPr>
        <w:pStyle w:val="ListBullet2"/>
      </w:pPr>
      <w:r w:rsidRPr="0065273D">
        <w:t>accessing and interpreting scan tool system data, including:</w:t>
      </w:r>
    </w:p>
    <w:p w:rsidR="00000000" w:rsidRPr="0065273D" w:rsidP="0065273D">
      <w:pPr>
        <w:pStyle w:val="ListBullet3"/>
      </w:pPr>
      <w:r w:rsidRPr="0065273D">
        <w:t>diagnostic trouble codes (DTCs)</w:t>
      </w:r>
    </w:p>
    <w:p w:rsidR="00000000" w:rsidRPr="0065273D" w:rsidP="0065273D">
      <w:pPr>
        <w:pStyle w:val="ListBullet3"/>
      </w:pPr>
      <w:r w:rsidRPr="0065273D">
        <w:t>live data</w:t>
      </w:r>
    </w:p>
    <w:p w:rsidR="00000000" w:rsidRPr="0065273D" w:rsidP="0065273D">
      <w:pPr>
        <w:pStyle w:val="ListBullet3"/>
      </w:pPr>
      <w:r w:rsidRPr="0065273D">
        <w:t>freeze frame data</w:t>
      </w:r>
    </w:p>
    <w:p w:rsidR="00000000" w:rsidRPr="0065273D" w:rsidP="0065273D">
      <w:pPr>
        <w:pStyle w:val="ListBullet3"/>
      </w:pPr>
      <w:r w:rsidRPr="0065273D">
        <w:t>waveforms</w:t>
      </w:r>
    </w:p>
    <w:p w:rsidR="00000000" w:rsidRPr="0065273D" w:rsidP="0065273D">
      <w:pPr>
        <w:pStyle w:val="ListBullet2"/>
      </w:pPr>
      <w:r w:rsidRPr="0065273D">
        <w:t>using diagnostic flow charts</w:t>
      </w:r>
    </w:p>
    <w:p w:rsidR="00000000" w:rsidRPr="0065273D" w:rsidP="0065273D">
      <w:pPr>
        <w:pStyle w:val="ListBullet2"/>
      </w:pPr>
      <w:r w:rsidRPr="0065273D">
        <w:t>testing electrical systems, including procedures for:</w:t>
      </w:r>
    </w:p>
    <w:p w:rsidR="00000000" w:rsidRPr="0065273D" w:rsidP="0065273D">
      <w:pPr>
        <w:pStyle w:val="ListBullet3"/>
      </w:pPr>
      <w:r w:rsidRPr="0065273D">
        <w:t>accessing electrical terminals and using test probes without damaging connectors, fuse holders or wiring</w:t>
      </w:r>
    </w:p>
    <w:p w:rsidR="00000000" w:rsidRPr="0065273D" w:rsidP="0065273D">
      <w:pPr>
        <w:pStyle w:val="ListBullet3"/>
      </w:pPr>
      <w:r w:rsidRPr="0065273D">
        <w:t>checking voltage input and output of DC to DC converters</w:t>
      </w:r>
    </w:p>
    <w:p w:rsidR="00000000" w:rsidRPr="0065273D" w:rsidP="0065273D">
      <w:pPr>
        <w:pStyle w:val="ListBullet3"/>
      </w:pPr>
      <w:r w:rsidRPr="0065273D">
        <w:t>checking r</w:t>
      </w:r>
      <w:r w:rsidRPr="0065273D">
        <w:t>outing and damage to cabling</w:t>
      </w:r>
    </w:p>
    <w:p w:rsidR="00000000" w:rsidRPr="0065273D" w:rsidP="0065273D">
      <w:pPr>
        <w:pStyle w:val="ListBullet"/>
      </w:pPr>
      <w:r w:rsidRPr="0065273D">
        <w:t>repair procedures for traction motor speed control systems, including:</w:t>
      </w:r>
    </w:p>
    <w:p w:rsidR="00000000" w:rsidRPr="0065273D" w:rsidP="0065273D">
      <w:pPr>
        <w:pStyle w:val="ListBullet2"/>
      </w:pPr>
      <w:r w:rsidRPr="0065273D">
        <w:t>tightening connections</w:t>
      </w:r>
    </w:p>
    <w:p w:rsidR="00000000" w:rsidRPr="0065273D" w:rsidP="0065273D">
      <w:pPr>
        <w:pStyle w:val="ListBullet2"/>
      </w:pPr>
      <w:r w:rsidRPr="0065273D">
        <w:t>replacing faulty or damaged cable connections</w:t>
      </w:r>
    </w:p>
    <w:p w:rsidR="00000000" w:rsidRPr="0065273D" w:rsidP="0065273D">
      <w:pPr>
        <w:pStyle w:val="ListBullet2"/>
      </w:pPr>
      <w:r w:rsidRPr="0065273D">
        <w:t>removing and replacing faulty or damaged components</w:t>
      </w:r>
    </w:p>
    <w:p w:rsidR="00000000" w:rsidRPr="0065273D" w:rsidP="0065273D">
      <w:pPr>
        <w:pStyle w:val="ListBullet"/>
      </w:pPr>
      <w:r w:rsidRPr="0065273D">
        <w:t>post-repair testing procedures for BEVs, including:</w:t>
      </w:r>
    </w:p>
    <w:p w:rsidR="00000000" w:rsidRPr="0065273D" w:rsidP="0065273D">
      <w:pPr>
        <w:pStyle w:val="ListBullet2"/>
      </w:pPr>
      <w:r w:rsidRPr="0065273D">
        <w:t xml:space="preserve">DTC clearing procedures </w:t>
      </w:r>
    </w:p>
    <w:p w:rsidR="00000000" w:rsidRPr="0065273D" w:rsidP="0065273D">
      <w:pPr>
        <w:pStyle w:val="ListBullet2"/>
      </w:pPr>
      <w:r w:rsidRPr="0065273D">
        <w:t>checking for electrical connector mating.</w:t>
      </w:r>
    </w:p>
    <w:p w:rsidR="00000000" w:rsidRPr="0065273D" w:rsidP="0065273D">
      <w:pPr>
        <w:pStyle w:val="AllowPageBreak"/>
      </w:pPr>
    </w:p>
    <w:p w:rsidR="00000000" w:rsidRPr="0065273D" w:rsidP="0065273D">
      <w:pPr>
        <w:pStyle w:val="Heading1"/>
      </w:pPr>
      <w:bookmarkStart w:id="4" w:name="O_771333"/>
      <w:bookmarkEnd w:id="4"/>
      <w:r w:rsidRPr="0065273D">
        <w:t>Assessment Conditions</w:t>
      </w:r>
    </w:p>
    <w:p w:rsidR="00000000" w:rsidRPr="0065273D" w:rsidP="00A0638D">
      <w:pPr>
        <w:pStyle w:val="BodyText"/>
      </w:pPr>
      <w:r w:rsidRPr="0065273D">
        <w:t>Assessors must satisfy NVR/AQTF assessor requirements.</w:t>
      </w:r>
    </w:p>
    <w:p w:rsidR="00000000" w:rsidRPr="0065273D" w:rsidP="00A0638D">
      <w:pPr>
        <w:pStyle w:val="BodyText"/>
      </w:pPr>
      <w:r w:rsidRPr="0065273D">
        <w:t>Competency is to be assessed in the workp</w:t>
      </w:r>
      <w:r w:rsidRPr="0065273D">
        <w:t>lace or a simulated environment that accurately reflects performance in a real workplace setting.</w:t>
      </w:r>
    </w:p>
    <w:p w:rsidR="00000000" w:rsidRPr="0065273D" w:rsidP="00A0638D">
      <w:pPr>
        <w:pStyle w:val="BodyText"/>
      </w:pPr>
      <w:r w:rsidRPr="0065273D">
        <w:t>Assessment must include direct observation of tasks.</w:t>
      </w:r>
    </w:p>
    <w:p w:rsidR="00000000" w:rsidRPr="0065273D" w:rsidP="00A0638D">
      <w:pPr>
        <w:pStyle w:val="BodyText"/>
      </w:pPr>
      <w:r w:rsidRPr="0065273D">
        <w:t>Where assessment of competency includes third-party evidence, individuals must provide evidence that links them to the BEV DC to DC converters that they have worked on, e.g. repair orders.</w:t>
      </w:r>
    </w:p>
    <w:p w:rsidR="00000000" w:rsidRPr="0065273D" w:rsidP="00A0638D">
      <w:pPr>
        <w:pStyle w:val="BodyText"/>
      </w:pPr>
      <w:r w:rsidRPr="0065273D">
        <w:t xml:space="preserve">Assessors must verify performance evidence through questioning on </w:t>
      </w:r>
      <w:r w:rsidRPr="0065273D">
        <w:t>skills and knowledge to ensure correct interpretation and application.</w:t>
      </w:r>
    </w:p>
    <w:p w:rsidR="00000000" w:rsidRPr="0065273D" w:rsidP="00A0638D">
      <w:pPr>
        <w:pStyle w:val="BodyText"/>
      </w:pPr>
      <w:r w:rsidRPr="0065273D">
        <w:t>The following resources must be made available:</w:t>
      </w:r>
    </w:p>
    <w:p w:rsidR="00000000" w:rsidRPr="0065273D" w:rsidP="0065273D">
      <w:pPr>
        <w:pStyle w:val="ListBullet"/>
      </w:pPr>
      <w:r w:rsidRPr="0065273D">
        <w:t>automotive repair workplace or simulated workplace</w:t>
      </w:r>
    </w:p>
    <w:p w:rsidR="00000000" w:rsidRPr="0065273D" w:rsidP="0065273D">
      <w:pPr>
        <w:pStyle w:val="ListBullet"/>
      </w:pPr>
      <w:r w:rsidRPr="0065273D">
        <w:t>PPE and safety equipment, including electrical safety gloves with 1000 volt rating a</w:t>
      </w:r>
      <w:r w:rsidRPr="0065273D">
        <w:t>nd HV insulating mat with Australian standards rating</w:t>
      </w:r>
    </w:p>
    <w:p w:rsidR="00000000" w:rsidRPr="0065273D" w:rsidP="0065273D">
      <w:pPr>
        <w:pStyle w:val="ListBullet"/>
      </w:pPr>
      <w:r w:rsidRPr="0065273D">
        <w:t>manufacturer specifications for BEV DC to DC converters</w:t>
      </w:r>
    </w:p>
    <w:p w:rsidR="00000000" w:rsidRPr="0065273D" w:rsidP="0065273D">
      <w:pPr>
        <w:pStyle w:val="ListBullet"/>
      </w:pPr>
      <w:r w:rsidRPr="0065273D">
        <w:t xml:space="preserve">AS 5732 Electric vehicle operations: Maintenance and repair </w:t>
      </w:r>
    </w:p>
    <w:p w:rsidR="00000000" w:rsidRPr="0065273D" w:rsidP="0065273D">
      <w:pPr>
        <w:pStyle w:val="ListBullet"/>
      </w:pPr>
      <w:r w:rsidRPr="0065273D">
        <w:t>two different BEVs with DC to DC converters accessible for diagnostic and repair or r</w:t>
      </w:r>
      <w:r w:rsidRPr="0065273D">
        <w:t>eplacement activities</w:t>
      </w:r>
    </w:p>
    <w:p w:rsidR="00000000" w:rsidRPr="0065273D" w:rsidP="0065273D">
      <w:pPr>
        <w:pStyle w:val="ListBullet"/>
      </w:pPr>
      <w:r w:rsidRPr="0065273D">
        <w:t>electrical diagnostic equipment appropriate to the BEV being diagnosed and repaired, including:</w:t>
      </w:r>
    </w:p>
    <w:p w:rsidR="00000000" w:rsidRPr="0065273D" w:rsidP="0065273D">
      <w:pPr>
        <w:pStyle w:val="ListBullet2"/>
      </w:pPr>
      <w:r w:rsidRPr="0065273D">
        <w:t>digital multimeter with Cat III 1000 volt rating</w:t>
      </w:r>
    </w:p>
    <w:p w:rsidR="00000000" w:rsidRPr="0065273D" w:rsidP="0065273D">
      <w:pPr>
        <w:pStyle w:val="ListBullet2"/>
      </w:pPr>
      <w:r w:rsidRPr="0065273D">
        <w:t>insulation tester</w:t>
      </w:r>
    </w:p>
    <w:p w:rsidR="00000000" w:rsidRPr="0065273D" w:rsidP="0065273D">
      <w:pPr>
        <w:pStyle w:val="ListBullet2"/>
      </w:pPr>
      <w:r w:rsidRPr="0065273D">
        <w:t>scan tool</w:t>
      </w:r>
    </w:p>
    <w:p w:rsidR="00000000" w:rsidRPr="0065273D" w:rsidP="0065273D">
      <w:pPr>
        <w:pStyle w:val="ListBullet2"/>
      </w:pPr>
      <w:r w:rsidRPr="0065273D">
        <w:t>oscilloscope</w:t>
      </w:r>
    </w:p>
    <w:p w:rsidR="00000000" w:rsidRPr="0065273D" w:rsidP="0065273D">
      <w:pPr>
        <w:pStyle w:val="ListBullet2"/>
      </w:pPr>
      <w:r w:rsidRPr="0065273D">
        <w:t xml:space="preserve">residual voltage tester, if specified in original equipment manufacturer (OEM) test requirements </w:t>
      </w:r>
    </w:p>
    <w:p w:rsidR="00000000" w:rsidRPr="0065273D" w:rsidP="0065273D">
      <w:pPr>
        <w:pStyle w:val="ListBullet"/>
      </w:pPr>
      <w:r w:rsidRPr="0065273D">
        <w:t>tools, equipment and materials appropriate for repairing DC to DC converters in BEVs.</w:t>
      </w:r>
    </w:p>
    <w:p w:rsidR="00000000" w:rsidRPr="0065273D" w:rsidP="0065273D">
      <w:pPr>
        <w:pStyle w:val="AllowPageBreak"/>
      </w:pPr>
    </w:p>
    <w:p w:rsidR="00000000" w:rsidRPr="0065273D" w:rsidP="0065273D">
      <w:pPr>
        <w:pStyle w:val="Heading1"/>
      </w:pPr>
      <w:bookmarkStart w:id="5" w:name="O_771336"/>
      <w:bookmarkEnd w:id="5"/>
      <w:r w:rsidRPr="0065273D">
        <w:t>Links</w:t>
      </w:r>
    </w:p>
    <w:p w:rsidR="00000000" w:rsidRPr="0065273D" w:rsidP="00A0638D">
      <w:pPr>
        <w:pStyle w:val="BodyText"/>
      </w:pPr>
      <w:r w:rsidRPr="0065273D">
        <w:t>Companion Volume implementation guides are found</w:t>
      </w:r>
      <w:r w:rsidRPr="0065273D">
        <w:t xml:space="preserve"> in VETNet - </w:t>
      </w:r>
      <w:r>
        <w:fldChar w:fldCharType="begin"/>
      </w:r>
      <w:r>
        <w:instrText xml:space="preserve"> HYPERLINK "https://vetnet.gov.au/Pages/TrainingDocs.aspx?q=b4278d82-d487-4070-a8c4-78045ec695b1" </w:instrText>
      </w:r>
      <w:r>
        <w:fldChar w:fldCharType="separate"/>
      </w:r>
      <w:r w:rsidRPr="005D5495">
        <w:rPr>
          <w:rStyle w:val="Hyperlink"/>
        </w:rPr>
        <w:t>https://vetnet.gov.au/Pages/TrainingDocs.aspx?q=b4278d82-d487-4070-a8c4-78045ec695b1</w:t>
      </w:r>
      <w:r>
        <w:fldChar w:fldCharType="end"/>
      </w:r>
    </w:p>
    <w:p w:rsidR="00000000" w:rsidRPr="0065273D" w:rsidP="00A0638D">
      <w:pPr>
        <w:pStyle w:val="BodyText"/>
      </w:pPr>
      <w:r w:rsidRPr="0065273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D5495">
        <w:rPr>
          <w:rStyle w:val="Hyperlink"/>
        </w:rPr>
        <w:t>https://vetnet.gov.au/Pages/TrainingDocs.aspx?q=b4278d82-d487-4070-a8c4-78045ec695b1</w:t>
      </w:r>
      <w:r>
        <w:fldChar w:fldCharType="end"/>
      </w:r>
    </w:p>
    <w:p w:rsidR="00000000" w:rsidRPr="0065273D" w:rsidP="0065273D"/>
    <w:sectPr w:rsidSect="006527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3D" w:rsidRPr="00A0638D" w:rsidP="00A06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8D" w:rsidP="006527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638D" w:rsidP="0065273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0638D" w:rsidP="006527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73D" w:rsidRPr="00A0638D" w:rsidP="00A063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8D" w:rsidRPr="002D2AF8" w:rsidP="0065273D">
    <w:pPr>
      <w:pStyle w:val="Header"/>
      <w:framePr w:wrap="around"/>
    </w:pPr>
    <w:r>
      <w:fldChar w:fldCharType="begin"/>
    </w:r>
    <w:r>
      <w:instrText xml:space="preserve"> TITLE   \* MERGEFORMAT </w:instrText>
    </w:r>
    <w:r>
      <w:fldChar w:fldCharType="separate"/>
    </w:r>
    <w:r>
      <w:t>Assessment Requirements for AURETH009 Diagnose and repair DC to DC converters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0638D" w:rsidP="006527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B4B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FCE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68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7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73D"/>
    <w:pPr>
      <w:spacing w:before="360" w:after="60"/>
      <w:outlineLvl w:val="0"/>
    </w:pPr>
    <w:rPr>
      <w:sz w:val="32"/>
    </w:rPr>
  </w:style>
  <w:style w:type="paragraph" w:styleId="Heading2">
    <w:name w:val="heading 2"/>
    <w:basedOn w:val="HeadingBase"/>
    <w:next w:val="BodyText"/>
    <w:link w:val="Heading2Char"/>
    <w:qFormat/>
    <w:rsid w:val="0065273D"/>
    <w:pPr>
      <w:keepLines/>
      <w:spacing w:before="240" w:after="120"/>
      <w:outlineLvl w:val="1"/>
    </w:pPr>
    <w:rPr>
      <w:sz w:val="28"/>
      <w:szCs w:val="40"/>
    </w:rPr>
  </w:style>
  <w:style w:type="paragraph" w:styleId="Heading3">
    <w:name w:val="heading 3"/>
    <w:basedOn w:val="HeadingBase"/>
    <w:next w:val="BodyText"/>
    <w:link w:val="Heading3Char"/>
    <w:qFormat/>
    <w:rsid w:val="0065273D"/>
    <w:pPr>
      <w:spacing w:before="180" w:after="120"/>
      <w:outlineLvl w:val="2"/>
    </w:pPr>
    <w:rPr>
      <w:spacing w:val="-10"/>
      <w:kern w:val="32"/>
    </w:rPr>
  </w:style>
  <w:style w:type="paragraph" w:styleId="Heading4">
    <w:name w:val="heading 4"/>
    <w:basedOn w:val="HeadingBase"/>
    <w:next w:val="BodyText"/>
    <w:link w:val="Heading4Char"/>
    <w:qFormat/>
    <w:rsid w:val="0065273D"/>
    <w:pPr>
      <w:spacing w:before="160" w:after="120"/>
      <w:outlineLvl w:val="3"/>
    </w:pPr>
    <w:rPr>
      <w:sz w:val="22"/>
    </w:rPr>
  </w:style>
  <w:style w:type="paragraph" w:styleId="Heading5">
    <w:name w:val="heading 5"/>
    <w:basedOn w:val="HeadingBase"/>
    <w:next w:val="Normal"/>
    <w:link w:val="Heading5Char"/>
    <w:qFormat/>
    <w:rsid w:val="0065273D"/>
    <w:pPr>
      <w:spacing w:before="80"/>
      <w:outlineLvl w:val="4"/>
    </w:pPr>
    <w:rPr>
      <w:color w:val="918585"/>
      <w:sz w:val="20"/>
    </w:rPr>
  </w:style>
  <w:style w:type="paragraph" w:styleId="Heading6">
    <w:name w:val="heading 6"/>
    <w:basedOn w:val="HeadingBase"/>
    <w:next w:val="Normal"/>
    <w:link w:val="Heading6Char"/>
    <w:qFormat/>
    <w:rsid w:val="0065273D"/>
    <w:pPr>
      <w:spacing w:before="60"/>
      <w:outlineLvl w:val="5"/>
    </w:pPr>
    <w:rPr>
      <w:color w:val="918585"/>
      <w:sz w:val="20"/>
    </w:rPr>
  </w:style>
  <w:style w:type="paragraph" w:styleId="Heading7">
    <w:name w:val="heading 7"/>
    <w:basedOn w:val="Normal"/>
    <w:next w:val="Normal"/>
    <w:link w:val="Heading7Char"/>
    <w:qFormat/>
    <w:rsid w:val="0065273D"/>
    <w:pPr>
      <w:ind w:left="720"/>
      <w:outlineLvl w:val="6"/>
    </w:pPr>
    <w:rPr>
      <w:i/>
    </w:rPr>
  </w:style>
  <w:style w:type="paragraph" w:styleId="Heading8">
    <w:name w:val="heading 8"/>
    <w:basedOn w:val="Normal"/>
    <w:next w:val="Normal"/>
    <w:link w:val="Heading8Char"/>
    <w:qFormat/>
    <w:rsid w:val="0065273D"/>
    <w:pPr>
      <w:ind w:left="720"/>
      <w:outlineLvl w:val="7"/>
    </w:pPr>
    <w:rPr>
      <w:i/>
    </w:rPr>
  </w:style>
  <w:style w:type="paragraph" w:styleId="Heading9">
    <w:name w:val="heading 9"/>
    <w:basedOn w:val="Normal"/>
    <w:next w:val="Normal"/>
    <w:link w:val="Heading9Char"/>
    <w:qFormat/>
    <w:rsid w:val="0065273D"/>
    <w:pPr>
      <w:ind w:left="720"/>
      <w:outlineLvl w:val="8"/>
    </w:pPr>
    <w:rPr>
      <w:i/>
    </w:rPr>
  </w:style>
  <w:style w:type="character" w:default="1" w:styleId="DefaultParagraphFont">
    <w:name w:val="Default Paragraph Font"/>
    <w:uiPriority w:val="1"/>
    <w:unhideWhenUsed/>
    <w:rsid w:val="006527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73D"/>
  </w:style>
  <w:style w:type="character" w:customStyle="1" w:styleId="Heading1Char">
    <w:name w:val="Heading 1 Char"/>
    <w:basedOn w:val="DefaultParagraphFont"/>
    <w:link w:val="Heading1"/>
    <w:rsid w:val="0065273D"/>
    <w:rPr>
      <w:rFonts w:ascii="Times New Roman" w:eastAsia="Times New Roman" w:hAnsi="Times New Roman" w:cs="Times New Roman"/>
      <w:b/>
      <w:sz w:val="32"/>
      <w:szCs w:val="20"/>
      <w:lang w:eastAsia="en-US"/>
    </w:rPr>
  </w:style>
  <w:style w:type="paragraph" w:styleId="BodyText">
    <w:name w:val="Body Text"/>
    <w:basedOn w:val="Normal"/>
    <w:link w:val="BodyTextChar"/>
    <w:rsid w:val="006527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73D"/>
    <w:rPr>
      <w:rFonts w:ascii="Times New Roman" w:eastAsia="Times New Roman" w:hAnsi="Times New Roman" w:cs="Times New Roman"/>
      <w:sz w:val="24"/>
      <w:lang w:eastAsia="en-US"/>
    </w:rPr>
  </w:style>
  <w:style w:type="paragraph" w:styleId="ListBullet">
    <w:name w:val="List Bullet"/>
    <w:basedOn w:val="List"/>
    <w:rsid w:val="0065273D"/>
    <w:pPr>
      <w:numPr>
        <w:numId w:val="13"/>
      </w:numPr>
      <w:tabs>
        <w:tab w:val="clear" w:pos="340"/>
      </w:tabs>
      <w:spacing w:before="40" w:after="40"/>
    </w:pPr>
  </w:style>
  <w:style w:type="character" w:customStyle="1" w:styleId="SpecialBold">
    <w:name w:val="Special Bold"/>
    <w:basedOn w:val="DefaultParagraphFont"/>
    <w:rsid w:val="0065273D"/>
    <w:rPr>
      <w:b/>
      <w:spacing w:val="0"/>
    </w:rPr>
  </w:style>
  <w:style w:type="paragraph" w:styleId="ListBullet2">
    <w:name w:val="List Bullet 2"/>
    <w:basedOn w:val="List2"/>
    <w:rsid w:val="0065273D"/>
    <w:pPr>
      <w:numPr>
        <w:numId w:val="14"/>
      </w:numPr>
      <w:tabs>
        <w:tab w:val="clear" w:pos="680"/>
      </w:tabs>
    </w:pPr>
  </w:style>
  <w:style w:type="paragraph" w:customStyle="1" w:styleId="SuperHeading">
    <w:name w:val="SuperHeading"/>
    <w:basedOn w:val="Normal"/>
    <w:rsid w:val="0065273D"/>
    <w:pPr>
      <w:spacing w:before="240" w:after="120"/>
      <w:outlineLvl w:val="0"/>
    </w:pPr>
    <w:rPr>
      <w:rFonts w:ascii="Times New Roman" w:hAnsi="Times New Roman"/>
      <w:b/>
      <w:sz w:val="32"/>
    </w:rPr>
  </w:style>
  <w:style w:type="paragraph" w:customStyle="1" w:styleId="AllowPageBreak">
    <w:name w:val="AllowPageBreak"/>
    <w:rsid w:val="006527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273D"/>
    <w:pPr>
      <w:numPr>
        <w:numId w:val="3"/>
      </w:numPr>
      <w:tabs>
        <w:tab w:val="clear" w:pos="1021"/>
      </w:tabs>
      <w:ind w:left="1037" w:hanging="357"/>
    </w:pPr>
  </w:style>
  <w:style w:type="character" w:customStyle="1" w:styleId="Heading2Char">
    <w:name w:val="Heading 2 Char"/>
    <w:basedOn w:val="DefaultParagraphFont"/>
    <w:link w:val="Heading2"/>
    <w:rsid w:val="006527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7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7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7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7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7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7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73D"/>
    <w:rPr>
      <w:rFonts w:ascii="Courier New" w:eastAsia="Times New Roman" w:hAnsi="Courier New" w:cs="Times New Roman"/>
      <w:i/>
      <w:szCs w:val="20"/>
      <w:lang w:eastAsia="en-US"/>
    </w:rPr>
  </w:style>
  <w:style w:type="paragraph" w:customStyle="1" w:styleId="HeadingBase">
    <w:name w:val="Heading Base"/>
    <w:rsid w:val="006527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73D"/>
    <w:pPr>
      <w:tabs>
        <w:tab w:val="right" w:leader="dot" w:pos="9072"/>
      </w:tabs>
      <w:ind w:left="567"/>
    </w:pPr>
    <w:rPr>
      <w:szCs w:val="22"/>
    </w:rPr>
  </w:style>
  <w:style w:type="paragraph" w:customStyle="1" w:styleId="TOCBase">
    <w:name w:val="TOC Base"/>
    <w:rsid w:val="006527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73D"/>
    <w:pPr>
      <w:tabs>
        <w:tab w:val="right" w:leader="dot" w:pos="9072"/>
      </w:tabs>
      <w:spacing w:before="40" w:after="40"/>
      <w:ind w:left="284"/>
    </w:pPr>
    <w:rPr>
      <w:rFonts w:ascii="Times New Roman" w:hAnsi="Times New Roman"/>
    </w:rPr>
  </w:style>
  <w:style w:type="paragraph" w:styleId="TOC1">
    <w:name w:val="toc 1"/>
    <w:basedOn w:val="TOCBase"/>
    <w:next w:val="Normal"/>
    <w:rsid w:val="006527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7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73D"/>
    <w:rPr>
      <w:rFonts w:ascii="Times New Roman" w:eastAsia="Times New Roman" w:hAnsi="Times New Roman" w:cs="Times New Roman"/>
      <w:sz w:val="16"/>
      <w:lang w:eastAsia="en-US"/>
    </w:rPr>
  </w:style>
  <w:style w:type="paragraph" w:styleId="Title">
    <w:name w:val="Title"/>
    <w:basedOn w:val="HeadingBase"/>
    <w:link w:val="TitleChar"/>
    <w:qFormat/>
    <w:rsid w:val="0065273D"/>
    <w:pPr>
      <w:spacing w:before="5040"/>
      <w:jc w:val="center"/>
    </w:pPr>
    <w:rPr>
      <w:sz w:val="48"/>
      <w:szCs w:val="72"/>
      <w:lang w:val="en-US"/>
    </w:rPr>
  </w:style>
  <w:style w:type="character" w:customStyle="1" w:styleId="TitleChar">
    <w:name w:val="Title Char"/>
    <w:basedOn w:val="DefaultParagraphFont"/>
    <w:link w:val="Title"/>
    <w:rsid w:val="006527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73D"/>
    <w:pPr>
      <w:tabs>
        <w:tab w:val="left" w:pos="3600"/>
        <w:tab w:val="left" w:pos="3958"/>
      </w:tabs>
    </w:pPr>
  </w:style>
  <w:style w:type="paragraph" w:styleId="List">
    <w:name w:val="List"/>
    <w:basedOn w:val="BodyText"/>
    <w:next w:val="BodyText"/>
    <w:rsid w:val="0065273D"/>
    <w:pPr>
      <w:tabs>
        <w:tab w:val="left" w:pos="340"/>
      </w:tabs>
      <w:spacing w:before="60" w:after="60"/>
      <w:ind w:left="340" w:hanging="340"/>
    </w:pPr>
  </w:style>
  <w:style w:type="paragraph" w:customStyle="1" w:styleId="Note">
    <w:name w:val="Note"/>
    <w:basedOn w:val="BodyText"/>
    <w:rsid w:val="006527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73D"/>
    <w:pPr>
      <w:framePr w:wrap="auto" w:hAnchor="text" w:y="6049"/>
    </w:pPr>
    <w:rPr>
      <w:color w:val="000000"/>
      <w:sz w:val="40"/>
    </w:rPr>
  </w:style>
  <w:style w:type="paragraph" w:customStyle="1" w:styleId="TOCTitle">
    <w:name w:val="TOCTitle"/>
    <w:basedOn w:val="Heading1"/>
    <w:rsid w:val="0065273D"/>
    <w:pPr>
      <w:spacing w:after="240"/>
      <w:jc w:val="center"/>
      <w:outlineLvl w:val="9"/>
    </w:pPr>
    <w:rPr>
      <w:caps/>
    </w:rPr>
  </w:style>
  <w:style w:type="paragraph" w:customStyle="1" w:styleId="Version">
    <w:name w:val="Version"/>
    <w:rsid w:val="006527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73D"/>
    <w:pPr>
      <w:keepNext w:val="0"/>
      <w:tabs>
        <w:tab w:val="right" w:pos="4176"/>
      </w:tabs>
      <w:ind w:left="198" w:hanging="198"/>
    </w:pPr>
    <w:rPr>
      <w:rFonts w:ascii="Garamond" w:hAnsi="Garamond"/>
    </w:rPr>
  </w:style>
  <w:style w:type="paragraph" w:styleId="IndexHeading">
    <w:name w:val="index heading"/>
    <w:basedOn w:val="Normal"/>
    <w:next w:val="Index1"/>
    <w:semiHidden/>
    <w:rsid w:val="0065273D"/>
    <w:pPr>
      <w:spacing w:before="120" w:after="120"/>
    </w:pPr>
    <w:rPr>
      <w:rFonts w:ascii="Arial" w:hAnsi="Arial"/>
      <w:b/>
      <w:color w:val="918585"/>
      <w:sz w:val="24"/>
    </w:rPr>
  </w:style>
  <w:style w:type="paragraph" w:styleId="Header">
    <w:name w:val="header"/>
    <w:basedOn w:val="Normal"/>
    <w:link w:val="HeaderChar"/>
    <w:rsid w:val="006527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73D"/>
    <w:rPr>
      <w:rFonts w:ascii="Times New Roman" w:eastAsia="Times New Roman" w:hAnsi="Times New Roman" w:cs="Times New Roman"/>
      <w:sz w:val="16"/>
      <w:szCs w:val="20"/>
      <w:lang w:val="en-GB" w:eastAsia="en-US"/>
    </w:rPr>
  </w:style>
  <w:style w:type="paragraph" w:customStyle="1" w:styleId="Chapter">
    <w:name w:val="Chapter"/>
    <w:basedOn w:val="Normal"/>
    <w:rsid w:val="0065273D"/>
    <w:pPr>
      <w:spacing w:before="240"/>
    </w:pPr>
    <w:rPr>
      <w:rFonts w:ascii="Times New Roman" w:hAnsi="Times New Roman"/>
      <w:smallCaps/>
      <w:spacing w:val="80"/>
      <w:sz w:val="28"/>
    </w:rPr>
  </w:style>
  <w:style w:type="paragraph" w:customStyle="1" w:styleId="InChapter">
    <w:name w:val="InChapter"/>
    <w:basedOn w:val="Heading3"/>
    <w:rsid w:val="0065273D"/>
    <w:pPr>
      <w:spacing w:after="240"/>
      <w:outlineLvl w:val="9"/>
    </w:pPr>
    <w:rPr>
      <w:noProof/>
    </w:rPr>
  </w:style>
  <w:style w:type="paragraph" w:styleId="Index2">
    <w:name w:val="index 2"/>
    <w:basedOn w:val="Normal"/>
    <w:next w:val="Normal"/>
    <w:semiHidden/>
    <w:rsid w:val="0065273D"/>
    <w:pPr>
      <w:tabs>
        <w:tab w:val="right" w:pos="4176"/>
      </w:tabs>
      <w:ind w:left="568" w:hanging="284"/>
    </w:pPr>
    <w:rPr>
      <w:rFonts w:ascii="Garamond" w:hAnsi="Garamond"/>
    </w:rPr>
  </w:style>
  <w:style w:type="paragraph" w:customStyle="1" w:styleId="Byline">
    <w:name w:val="Byline"/>
    <w:rsid w:val="006527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73D"/>
    <w:pPr>
      <w:tabs>
        <w:tab w:val="clear" w:pos="3600"/>
        <w:tab w:val="clear" w:pos="3958"/>
      </w:tabs>
      <w:jc w:val="right"/>
    </w:pPr>
  </w:style>
  <w:style w:type="character" w:styleId="Emphasis">
    <w:name w:val="Emphasis"/>
    <w:basedOn w:val="DefaultParagraphFont"/>
    <w:qFormat/>
    <w:rsid w:val="0065273D"/>
    <w:rPr>
      <w:i/>
    </w:rPr>
  </w:style>
  <w:style w:type="paragraph" w:styleId="Caption">
    <w:name w:val="caption"/>
    <w:basedOn w:val="BodyText"/>
    <w:next w:val="Normal"/>
    <w:qFormat/>
    <w:rsid w:val="0065273D"/>
    <w:pPr>
      <w:framePr w:w="2268" w:hSpace="181" w:vSpace="181" w:wrap="around" w:vAnchor="text" w:hAnchor="page" w:x="1135" w:y="285" w:anchorLock="1"/>
    </w:pPr>
    <w:rPr>
      <w:i/>
    </w:rPr>
  </w:style>
  <w:style w:type="paragraph" w:customStyle="1" w:styleId="MiniTOCTitle">
    <w:name w:val="MiniTOCTitle"/>
    <w:basedOn w:val="Heading4"/>
    <w:rsid w:val="0065273D"/>
    <w:pPr>
      <w:spacing w:before="240"/>
      <w:outlineLvl w:val="9"/>
    </w:pPr>
    <w:rPr>
      <w:noProof/>
      <w:sz w:val="24"/>
    </w:rPr>
  </w:style>
  <w:style w:type="paragraph" w:customStyle="1" w:styleId="MiniTOCItem">
    <w:name w:val="MiniTOCItem"/>
    <w:basedOn w:val="ListBullet"/>
    <w:rsid w:val="0065273D"/>
    <w:pPr>
      <w:numPr>
        <w:numId w:val="0"/>
      </w:numPr>
      <w:tabs>
        <w:tab w:val="right" w:leader="dot" w:pos="6521"/>
      </w:tabs>
      <w:spacing w:before="0" w:after="0"/>
    </w:pPr>
  </w:style>
  <w:style w:type="paragraph" w:customStyle="1" w:styleId="TOFTitle">
    <w:name w:val="TOFTitle"/>
    <w:basedOn w:val="TOCTitle"/>
    <w:rsid w:val="0065273D"/>
  </w:style>
  <w:style w:type="paragraph" w:styleId="TableofFigures">
    <w:name w:val="table of figures"/>
    <w:basedOn w:val="Normal"/>
    <w:next w:val="Normal"/>
    <w:semiHidden/>
    <w:rsid w:val="0065273D"/>
    <w:pPr>
      <w:tabs>
        <w:tab w:val="right" w:leader="dot" w:pos="9072"/>
      </w:tabs>
      <w:ind w:left="970" w:hanging="403"/>
    </w:pPr>
    <w:rPr>
      <w:rFonts w:ascii="Times New Roman" w:hAnsi="Times New Roman"/>
      <w:b/>
    </w:rPr>
  </w:style>
  <w:style w:type="paragraph" w:styleId="ListNumber">
    <w:name w:val="List Number"/>
    <w:basedOn w:val="List"/>
    <w:rsid w:val="0065273D"/>
    <w:pPr>
      <w:numPr>
        <w:numId w:val="16"/>
      </w:numPr>
      <w:tabs>
        <w:tab w:val="clear" w:pos="340"/>
      </w:tabs>
    </w:pPr>
  </w:style>
  <w:style w:type="character" w:customStyle="1" w:styleId="WingdingSymbols">
    <w:name w:val="Wingding Symbols"/>
    <w:rsid w:val="0065273D"/>
    <w:rPr>
      <w:rFonts w:ascii="Wingdings" w:hAnsi="Wingdings"/>
    </w:rPr>
  </w:style>
  <w:style w:type="paragraph" w:customStyle="1" w:styleId="TableHeading">
    <w:name w:val="Table Heading"/>
    <w:basedOn w:val="HeadingBase"/>
    <w:rsid w:val="0065273D"/>
    <w:pPr>
      <w:keepLines/>
      <w:pBdr>
        <w:bottom w:val="single" w:sz="6" w:space="1" w:color="918585"/>
      </w:pBdr>
      <w:spacing w:before="240"/>
    </w:pPr>
  </w:style>
  <w:style w:type="character" w:customStyle="1" w:styleId="HotSpot">
    <w:name w:val="HotSpot"/>
    <w:rsid w:val="0065273D"/>
    <w:rPr>
      <w:color w:val="0033CC"/>
      <w:u w:val="none"/>
    </w:rPr>
  </w:style>
  <w:style w:type="paragraph" w:customStyle="1" w:styleId="BodyTextRight">
    <w:name w:val="Body Text Right"/>
    <w:basedOn w:val="BodyText"/>
    <w:rsid w:val="0065273D"/>
    <w:pPr>
      <w:spacing w:before="0" w:after="0"/>
      <w:jc w:val="right"/>
    </w:pPr>
  </w:style>
  <w:style w:type="paragraph" w:styleId="Index3">
    <w:name w:val="index 3"/>
    <w:basedOn w:val="ListNumber2"/>
    <w:next w:val="Normal"/>
    <w:semiHidden/>
    <w:rsid w:val="0065273D"/>
    <w:pPr>
      <w:numPr>
        <w:numId w:val="0"/>
      </w:numPr>
      <w:tabs>
        <w:tab w:val="right" w:leader="dot" w:pos="4176"/>
      </w:tabs>
    </w:pPr>
  </w:style>
  <w:style w:type="paragraph" w:styleId="ListNumber2">
    <w:name w:val="List Number 2"/>
    <w:basedOn w:val="List2"/>
    <w:rsid w:val="0065273D"/>
    <w:pPr>
      <w:numPr>
        <w:numId w:val="11"/>
      </w:numPr>
      <w:tabs>
        <w:tab w:val="clear" w:pos="1060"/>
      </w:tabs>
    </w:pPr>
  </w:style>
  <w:style w:type="paragraph" w:customStyle="1" w:styleId="MarginNote">
    <w:name w:val="Margin Note"/>
    <w:basedOn w:val="BodyText"/>
    <w:rsid w:val="006527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7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7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73D"/>
    <w:rPr>
      <w:sz w:val="32"/>
    </w:rPr>
  </w:style>
  <w:style w:type="paragraph" w:customStyle="1" w:styleId="HeadingProcedure">
    <w:name w:val="Heading Procedure"/>
    <w:basedOn w:val="HeadingBase"/>
    <w:next w:val="Normal"/>
    <w:rsid w:val="0065273D"/>
    <w:pPr>
      <w:tabs>
        <w:tab w:val="left" w:pos="0"/>
      </w:tabs>
      <w:spacing w:before="120" w:after="60"/>
    </w:pPr>
    <w:rPr>
      <w:i/>
      <w:color w:val="918585"/>
      <w:sz w:val="22"/>
    </w:rPr>
  </w:style>
  <w:style w:type="paragraph" w:customStyle="1" w:styleId="TableBodyText">
    <w:name w:val="Table Body Text"/>
    <w:basedOn w:val="BodyText"/>
    <w:rsid w:val="0065273D"/>
    <w:pPr>
      <w:spacing w:before="60" w:after="60"/>
    </w:pPr>
  </w:style>
  <w:style w:type="paragraph" w:styleId="ListContinue">
    <w:name w:val="List Continue"/>
    <w:basedOn w:val="List"/>
    <w:rsid w:val="0065273D"/>
    <w:pPr>
      <w:ind w:firstLine="0"/>
    </w:pPr>
  </w:style>
  <w:style w:type="paragraph" w:customStyle="1" w:styleId="ListNote">
    <w:name w:val="List Note"/>
    <w:basedOn w:val="List"/>
    <w:rsid w:val="0065273D"/>
    <w:pPr>
      <w:pBdr>
        <w:top w:val="single" w:sz="6" w:space="2" w:color="918585"/>
        <w:bottom w:val="single" w:sz="6" w:space="2" w:color="918585"/>
      </w:pBdr>
      <w:tabs>
        <w:tab w:val="left" w:pos="1021"/>
      </w:tabs>
      <w:ind w:firstLine="0"/>
    </w:pPr>
  </w:style>
  <w:style w:type="paragraph" w:customStyle="1" w:styleId="Warning">
    <w:name w:val="Warning"/>
    <w:basedOn w:val="BodyText"/>
    <w:rsid w:val="0065273D"/>
    <w:pPr>
      <w:shd w:val="clear" w:color="auto" w:fill="D9D9D9"/>
      <w:tabs>
        <w:tab w:val="left" w:pos="992"/>
      </w:tabs>
      <w:ind w:left="119" w:right="119"/>
    </w:pPr>
    <w:rPr>
      <w:sz w:val="20"/>
    </w:rPr>
  </w:style>
  <w:style w:type="paragraph" w:customStyle="1" w:styleId="MarginIcons">
    <w:name w:val="Margin Icons"/>
    <w:basedOn w:val="BodyText"/>
    <w:rsid w:val="006527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73D"/>
    <w:rPr>
      <w:rFonts w:ascii="Courier New" w:hAnsi="Courier New"/>
    </w:rPr>
  </w:style>
  <w:style w:type="paragraph" w:customStyle="1" w:styleId="NoteBullet">
    <w:name w:val="Note Bullet"/>
    <w:basedOn w:val="Note"/>
    <w:rsid w:val="0065273D"/>
    <w:pPr>
      <w:tabs>
        <w:tab w:val="clear" w:pos="680"/>
      </w:tabs>
      <w:spacing w:before="60" w:after="60"/>
    </w:pPr>
  </w:style>
  <w:style w:type="paragraph" w:customStyle="1" w:styleId="SubHeading2">
    <w:name w:val="SubHeading2"/>
    <w:basedOn w:val="HeadingBase"/>
    <w:rsid w:val="0065273D"/>
    <w:pPr>
      <w:spacing w:before="240" w:after="60"/>
    </w:pPr>
    <w:rPr>
      <w:sz w:val="20"/>
    </w:rPr>
  </w:style>
  <w:style w:type="paragraph" w:customStyle="1" w:styleId="SubHeading1">
    <w:name w:val="SubHeading1"/>
    <w:basedOn w:val="HeadingBase"/>
    <w:rsid w:val="0065273D"/>
    <w:pPr>
      <w:spacing w:before="240" w:after="60"/>
    </w:pPr>
    <w:rPr>
      <w:color w:val="918585"/>
      <w:sz w:val="22"/>
    </w:rPr>
  </w:style>
  <w:style w:type="paragraph" w:customStyle="1" w:styleId="SideHeading">
    <w:name w:val="Side Heading"/>
    <w:basedOn w:val="HeadingBase"/>
    <w:rsid w:val="006527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73D"/>
    <w:pPr>
      <w:numPr>
        <w:numId w:val="12"/>
      </w:numPr>
    </w:pPr>
  </w:style>
  <w:style w:type="paragraph" w:styleId="PlainText">
    <w:name w:val="Plain Text"/>
    <w:basedOn w:val="Normal"/>
    <w:link w:val="PlainTextChar"/>
    <w:rsid w:val="0065273D"/>
    <w:rPr>
      <w:sz w:val="20"/>
    </w:rPr>
  </w:style>
  <w:style w:type="character" w:customStyle="1" w:styleId="PlainTextChar">
    <w:name w:val="Plain Text Char"/>
    <w:basedOn w:val="DefaultParagraphFont"/>
    <w:link w:val="PlainText"/>
    <w:rsid w:val="0065273D"/>
    <w:rPr>
      <w:rFonts w:ascii="Courier New" w:eastAsia="Times New Roman" w:hAnsi="Courier New" w:cs="Times New Roman"/>
      <w:sz w:val="20"/>
      <w:szCs w:val="20"/>
      <w:lang w:eastAsia="en-US"/>
    </w:rPr>
  </w:style>
  <w:style w:type="character" w:customStyle="1" w:styleId="MenuOption">
    <w:name w:val="Menu Option"/>
    <w:basedOn w:val="DefaultParagraphFont"/>
    <w:rsid w:val="0065273D"/>
    <w:rPr>
      <w:b/>
      <w:smallCaps/>
    </w:rPr>
  </w:style>
  <w:style w:type="paragraph" w:customStyle="1" w:styleId="TableListNumber">
    <w:name w:val="Table List Number"/>
    <w:basedOn w:val="ListNumber"/>
    <w:rsid w:val="0065273D"/>
    <w:pPr>
      <w:numPr>
        <w:numId w:val="0"/>
      </w:numPr>
    </w:pPr>
  </w:style>
  <w:style w:type="paragraph" w:styleId="TOC4">
    <w:name w:val="toc 4"/>
    <w:basedOn w:val="TOCBase"/>
    <w:next w:val="Normal"/>
    <w:semiHidden/>
    <w:rsid w:val="0065273D"/>
    <w:pPr>
      <w:tabs>
        <w:tab w:val="right" w:leader="dot" w:pos="9071"/>
      </w:tabs>
      <w:ind w:left="1701"/>
    </w:pPr>
  </w:style>
  <w:style w:type="paragraph" w:customStyle="1" w:styleId="ListAlpha">
    <w:name w:val="List Alpha"/>
    <w:basedOn w:val="List"/>
    <w:rsid w:val="0065273D"/>
    <w:pPr>
      <w:numPr>
        <w:numId w:val="10"/>
      </w:numPr>
    </w:pPr>
  </w:style>
  <w:style w:type="paragraph" w:customStyle="1" w:styleId="ListAlpha2">
    <w:name w:val="List Alpha 2"/>
    <w:basedOn w:val="List2"/>
    <w:rsid w:val="0065273D"/>
    <w:pPr>
      <w:numPr>
        <w:numId w:val="9"/>
      </w:numPr>
    </w:pPr>
  </w:style>
  <w:style w:type="paragraph" w:styleId="List2">
    <w:name w:val="List 2"/>
    <w:basedOn w:val="BodyText"/>
    <w:rsid w:val="0065273D"/>
    <w:pPr>
      <w:tabs>
        <w:tab w:val="left" w:pos="680"/>
      </w:tabs>
      <w:spacing w:before="60" w:after="60"/>
      <w:ind w:left="680" w:hanging="340"/>
    </w:pPr>
  </w:style>
  <w:style w:type="paragraph" w:styleId="List3">
    <w:name w:val="List 3"/>
    <w:basedOn w:val="BodyText"/>
    <w:rsid w:val="0065273D"/>
    <w:pPr>
      <w:tabs>
        <w:tab w:val="left" w:pos="1021"/>
      </w:tabs>
      <w:spacing w:before="60" w:after="60"/>
      <w:ind w:left="1020" w:hanging="340"/>
    </w:pPr>
  </w:style>
  <w:style w:type="paragraph" w:styleId="List4">
    <w:name w:val="List 4"/>
    <w:basedOn w:val="BodyText"/>
    <w:rsid w:val="0065273D"/>
    <w:pPr>
      <w:tabs>
        <w:tab w:val="left" w:pos="1361"/>
      </w:tabs>
      <w:spacing w:before="60" w:after="60"/>
      <w:ind w:left="1361" w:hanging="340"/>
    </w:pPr>
  </w:style>
  <w:style w:type="paragraph" w:styleId="List5">
    <w:name w:val="List 5"/>
    <w:basedOn w:val="BodyText"/>
    <w:rsid w:val="0065273D"/>
    <w:pPr>
      <w:tabs>
        <w:tab w:val="left" w:pos="1701"/>
      </w:tabs>
      <w:spacing w:before="60" w:after="60"/>
      <w:ind w:left="1701" w:hanging="340"/>
    </w:pPr>
  </w:style>
  <w:style w:type="paragraph" w:styleId="ListBullet4">
    <w:name w:val="List Bullet 4"/>
    <w:basedOn w:val="List4"/>
    <w:rsid w:val="0065273D"/>
    <w:pPr>
      <w:numPr>
        <w:numId w:val="4"/>
      </w:numPr>
      <w:tabs>
        <w:tab w:val="clear" w:pos="1361"/>
      </w:tabs>
    </w:pPr>
  </w:style>
  <w:style w:type="paragraph" w:styleId="ListBullet5">
    <w:name w:val="List Bullet 5"/>
    <w:basedOn w:val="List5"/>
    <w:rsid w:val="0065273D"/>
    <w:pPr>
      <w:numPr>
        <w:numId w:val="5"/>
      </w:numPr>
    </w:pPr>
  </w:style>
  <w:style w:type="paragraph" w:styleId="ListContinue2">
    <w:name w:val="List Continue 2"/>
    <w:basedOn w:val="List2"/>
    <w:rsid w:val="0065273D"/>
    <w:pPr>
      <w:ind w:firstLine="0"/>
    </w:pPr>
  </w:style>
  <w:style w:type="paragraph" w:styleId="ListContinue3">
    <w:name w:val="List Continue 3"/>
    <w:basedOn w:val="List3"/>
    <w:rsid w:val="0065273D"/>
    <w:pPr>
      <w:ind w:left="1021" w:firstLine="0"/>
    </w:pPr>
  </w:style>
  <w:style w:type="paragraph" w:styleId="ListContinue4">
    <w:name w:val="List Continue 4"/>
    <w:basedOn w:val="List4"/>
    <w:rsid w:val="0065273D"/>
    <w:pPr>
      <w:ind w:firstLine="0"/>
    </w:pPr>
  </w:style>
  <w:style w:type="paragraph" w:styleId="ListContinue5">
    <w:name w:val="List Continue 5"/>
    <w:basedOn w:val="List5"/>
    <w:rsid w:val="0065273D"/>
    <w:pPr>
      <w:ind w:firstLine="0"/>
    </w:pPr>
  </w:style>
  <w:style w:type="paragraph" w:styleId="ListNumber3">
    <w:name w:val="List Number 3"/>
    <w:basedOn w:val="List3"/>
    <w:rsid w:val="0065273D"/>
    <w:pPr>
      <w:numPr>
        <w:numId w:val="6"/>
      </w:numPr>
    </w:pPr>
  </w:style>
  <w:style w:type="paragraph" w:styleId="ListNumber4">
    <w:name w:val="List Number 4"/>
    <w:basedOn w:val="List4"/>
    <w:rsid w:val="0065273D"/>
    <w:pPr>
      <w:numPr>
        <w:numId w:val="7"/>
      </w:numPr>
    </w:pPr>
  </w:style>
  <w:style w:type="paragraph" w:styleId="ListNumber5">
    <w:name w:val="List Number 5"/>
    <w:basedOn w:val="List5"/>
    <w:rsid w:val="0065273D"/>
    <w:pPr>
      <w:numPr>
        <w:numId w:val="8"/>
      </w:numPr>
    </w:pPr>
  </w:style>
  <w:style w:type="paragraph" w:styleId="BlockText">
    <w:name w:val="Block Text"/>
    <w:basedOn w:val="Normal"/>
    <w:rsid w:val="0065273D"/>
    <w:pPr>
      <w:spacing w:after="120"/>
      <w:ind w:left="1440" w:right="1440"/>
    </w:pPr>
  </w:style>
  <w:style w:type="character" w:customStyle="1" w:styleId="Subscript">
    <w:name w:val="Subscript"/>
    <w:basedOn w:val="DefaultParagraphFont"/>
    <w:rsid w:val="0065273D"/>
    <w:rPr>
      <w:sz w:val="16"/>
      <w:vertAlign w:val="subscript"/>
    </w:rPr>
  </w:style>
  <w:style w:type="character" w:customStyle="1" w:styleId="Superscript">
    <w:name w:val="Superscript"/>
    <w:basedOn w:val="DefaultParagraphFont"/>
    <w:rsid w:val="0065273D"/>
    <w:rPr>
      <w:sz w:val="16"/>
      <w:vertAlign w:val="superscript"/>
    </w:rPr>
  </w:style>
  <w:style w:type="character" w:customStyle="1" w:styleId="Symbols">
    <w:name w:val="Symbols"/>
    <w:basedOn w:val="DefaultParagraphFont"/>
    <w:rsid w:val="0065273D"/>
    <w:rPr>
      <w:rFonts w:ascii="Symbol" w:hAnsi="Symbol"/>
    </w:rPr>
  </w:style>
  <w:style w:type="character" w:customStyle="1" w:styleId="MenuOptions">
    <w:name w:val="Menu Options"/>
    <w:basedOn w:val="DefaultParagraphFont"/>
    <w:rsid w:val="0065273D"/>
    <w:rPr>
      <w:rFonts w:ascii="Arial Narrow" w:hAnsi="Arial Narrow"/>
      <w:smallCaps/>
    </w:rPr>
  </w:style>
  <w:style w:type="character" w:customStyle="1" w:styleId="Buttons">
    <w:name w:val="Buttons"/>
    <w:basedOn w:val="DefaultParagraphFont"/>
    <w:rsid w:val="0065273D"/>
    <w:rPr>
      <w:b/>
    </w:rPr>
  </w:style>
  <w:style w:type="character" w:customStyle="1" w:styleId="Underlined">
    <w:name w:val="Underlined"/>
    <w:basedOn w:val="DefaultParagraphFont"/>
    <w:rsid w:val="0065273D"/>
    <w:rPr>
      <w:u w:val="single"/>
    </w:rPr>
  </w:style>
  <w:style w:type="paragraph" w:customStyle="1" w:styleId="TableBodyTextRight">
    <w:name w:val="Table Body Text Right"/>
    <w:basedOn w:val="TableBodyText"/>
    <w:rsid w:val="0065273D"/>
    <w:pPr>
      <w:widowControl w:val="0"/>
      <w:autoSpaceDE w:val="0"/>
      <w:autoSpaceDN w:val="0"/>
      <w:adjustRightInd w:val="0"/>
      <w:jc w:val="right"/>
    </w:pPr>
    <w:rPr>
      <w:rFonts w:cs="Arial"/>
      <w:szCs w:val="18"/>
    </w:rPr>
  </w:style>
  <w:style w:type="paragraph" w:customStyle="1" w:styleId="CopyrightText">
    <w:name w:val="Copyright Text"/>
    <w:basedOn w:val="BodyText"/>
    <w:rsid w:val="0065273D"/>
    <w:rPr>
      <w:sz w:val="18"/>
    </w:rPr>
  </w:style>
  <w:style w:type="paragraph" w:customStyle="1" w:styleId="BodySmallRight">
    <w:name w:val="Body Small Right"/>
    <w:basedOn w:val="BodyTextRight"/>
    <w:rsid w:val="0065273D"/>
    <w:rPr>
      <w:sz w:val="18"/>
      <w:szCs w:val="18"/>
    </w:rPr>
  </w:style>
  <w:style w:type="paragraph" w:customStyle="1" w:styleId="MarginEdition">
    <w:name w:val="Margin Edition"/>
    <w:basedOn w:val="MarginNote"/>
    <w:rsid w:val="0065273D"/>
    <w:pPr>
      <w:spacing w:before="0" w:after="0"/>
    </w:pPr>
    <w:rPr>
      <w:rFonts w:ascii="Times New Roman" w:hAnsi="Times New Roman"/>
      <w:color w:val="999999"/>
    </w:rPr>
  </w:style>
  <w:style w:type="paragraph" w:customStyle="1" w:styleId="Spacer">
    <w:name w:val="Spacer"/>
    <w:basedOn w:val="Normal"/>
    <w:rsid w:val="0065273D"/>
    <w:rPr>
      <w:sz w:val="2"/>
      <w:szCs w:val="2"/>
    </w:rPr>
  </w:style>
  <w:style w:type="character" w:customStyle="1" w:styleId="Small">
    <w:name w:val="Small"/>
    <w:basedOn w:val="DefaultParagraphFont"/>
    <w:rsid w:val="0065273D"/>
    <w:rPr>
      <w:sz w:val="16"/>
    </w:rPr>
  </w:style>
  <w:style w:type="paragraph" w:customStyle="1" w:styleId="WideTable">
    <w:name w:val="Wide Table"/>
    <w:basedOn w:val="Normal"/>
    <w:rsid w:val="0065273D"/>
    <w:pPr>
      <w:ind w:left="-1418"/>
    </w:pPr>
    <w:rPr>
      <w:sz w:val="2"/>
      <w:szCs w:val="2"/>
    </w:rPr>
  </w:style>
  <w:style w:type="character" w:styleId="PageNumber">
    <w:name w:val="page number"/>
    <w:basedOn w:val="DefaultParagraphFont"/>
    <w:rsid w:val="0065273D"/>
  </w:style>
  <w:style w:type="paragraph" w:styleId="Quote">
    <w:name w:val="Quote"/>
    <w:basedOn w:val="Heading1"/>
    <w:link w:val="QuoteChar"/>
    <w:qFormat/>
    <w:rsid w:val="0065273D"/>
    <w:rPr>
      <w:b w:val="0"/>
      <w:sz w:val="72"/>
      <w:szCs w:val="72"/>
      <w:lang w:val="en-NZ"/>
    </w:rPr>
  </w:style>
  <w:style w:type="character" w:customStyle="1" w:styleId="QuoteChar">
    <w:name w:val="Quote Char"/>
    <w:basedOn w:val="DefaultParagraphFont"/>
    <w:link w:val="Quote"/>
    <w:rsid w:val="006527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73D"/>
    <w:pPr>
      <w:pageBreakBefore/>
    </w:pPr>
  </w:style>
  <w:style w:type="paragraph" w:customStyle="1" w:styleId="Border">
    <w:name w:val="Border"/>
    <w:basedOn w:val="Normal"/>
    <w:qFormat/>
    <w:rsid w:val="006527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73D"/>
    <w:rPr>
      <w:b/>
      <w:bCs/>
      <w:i/>
      <w:iCs/>
      <w:color w:val="auto"/>
    </w:rPr>
  </w:style>
  <w:style w:type="paragraph" w:styleId="IntenseQuote">
    <w:name w:val="Intense Quote"/>
    <w:basedOn w:val="Normal"/>
    <w:next w:val="Normal"/>
    <w:link w:val="IntenseQuoteChar"/>
    <w:uiPriority w:val="30"/>
    <w:qFormat/>
    <w:rsid w:val="006527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7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73D"/>
    <w:rPr>
      <w:smallCaps/>
      <w:color w:val="auto"/>
      <w:u w:val="single"/>
    </w:rPr>
  </w:style>
  <w:style w:type="character" w:styleId="IntenseReference">
    <w:name w:val="Intense Reference"/>
    <w:basedOn w:val="DefaultParagraphFont"/>
    <w:uiPriority w:val="32"/>
    <w:qFormat/>
    <w:rsid w:val="0065273D"/>
    <w:rPr>
      <w:b/>
      <w:bCs/>
      <w:smallCaps/>
      <w:color w:val="auto"/>
      <w:spacing w:val="5"/>
      <w:u w:val="single"/>
    </w:rPr>
  </w:style>
  <w:style w:type="paragraph" w:customStyle="1" w:styleId="2ColumnHeading">
    <w:name w:val="2Column Heading"/>
    <w:basedOn w:val="BodyText"/>
    <w:qFormat/>
    <w:rsid w:val="0065273D"/>
    <w:pPr>
      <w:spacing w:after="60"/>
      <w:ind w:left="-2268"/>
    </w:pPr>
    <w:rPr>
      <w:b/>
    </w:rPr>
  </w:style>
  <w:style w:type="paragraph" w:customStyle="1" w:styleId="Heading1TOC">
    <w:name w:val="Heading1 TOC"/>
    <w:basedOn w:val="Normal"/>
    <w:qFormat/>
    <w:rsid w:val="0065273D"/>
    <w:pPr>
      <w:spacing w:before="240" w:after="120"/>
    </w:pPr>
    <w:rPr>
      <w:rFonts w:ascii="Times New Roman" w:hAnsi="Times New Roman"/>
      <w:b/>
      <w:sz w:val="32"/>
    </w:rPr>
  </w:style>
  <w:style w:type="paragraph" w:customStyle="1" w:styleId="Heading2TOC">
    <w:name w:val="Heading2 TOC"/>
    <w:basedOn w:val="Normal"/>
    <w:qFormat/>
    <w:rsid w:val="0065273D"/>
    <w:pPr>
      <w:spacing w:before="240" w:after="60"/>
    </w:pPr>
    <w:rPr>
      <w:rFonts w:ascii="Times New Roman" w:hAnsi="Times New Roman"/>
      <w:b/>
      <w:sz w:val="28"/>
    </w:rPr>
  </w:style>
  <w:style w:type="character" w:customStyle="1" w:styleId="Underline">
    <w:name w:val="Underline"/>
    <w:basedOn w:val="DefaultParagraphFont"/>
    <w:qFormat/>
    <w:rsid w:val="0065273D"/>
    <w:rPr>
      <w:u w:val="single"/>
    </w:rPr>
  </w:style>
  <w:style w:type="character" w:customStyle="1" w:styleId="BoldandItalics">
    <w:name w:val="Bold and Italics"/>
    <w:qFormat/>
    <w:rsid w:val="0065273D"/>
    <w:rPr>
      <w:b/>
      <w:i/>
      <w:u w:val="none"/>
    </w:rPr>
  </w:style>
  <w:style w:type="paragraph" w:styleId="BalloonText">
    <w:name w:val="Balloon Text"/>
    <w:basedOn w:val="Normal"/>
    <w:link w:val="BalloonTextChar"/>
    <w:rsid w:val="0065273D"/>
    <w:rPr>
      <w:rFonts w:ascii="Tahoma" w:hAnsi="Tahoma" w:cs="Tahoma"/>
      <w:sz w:val="16"/>
      <w:szCs w:val="16"/>
    </w:rPr>
  </w:style>
  <w:style w:type="character" w:customStyle="1" w:styleId="BalloonTextChar">
    <w:name w:val="Balloon Text Char"/>
    <w:basedOn w:val="DefaultParagraphFont"/>
    <w:link w:val="BalloonText"/>
    <w:rsid w:val="006527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7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7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73D"/>
    <w:rPr>
      <w:b/>
      <w:color w:val="660033"/>
      <w:spacing w:val="0"/>
    </w:rPr>
  </w:style>
  <w:style w:type="paragraph" w:customStyle="1" w:styleId="Nameditemlist">
    <w:name w:val="Named item list"/>
    <w:basedOn w:val="BodyText"/>
    <w:qFormat/>
    <w:rsid w:val="0065273D"/>
    <w:pPr>
      <w:tabs>
        <w:tab w:val="left" w:pos="2835"/>
      </w:tabs>
      <w:ind w:left="2835" w:hanging="2835"/>
    </w:pPr>
  </w:style>
  <w:style w:type="paragraph" w:customStyle="1" w:styleId="BodyTextnopadding">
    <w:name w:val="Body Text no padding"/>
    <w:basedOn w:val="BodyText"/>
    <w:qFormat/>
    <w:rsid w:val="0065273D"/>
    <w:pPr>
      <w:spacing w:before="0" w:after="0"/>
    </w:pPr>
  </w:style>
  <w:style w:type="paragraph" w:customStyle="1" w:styleId="BodyTextBold">
    <w:name w:val="Body Text Bold"/>
    <w:basedOn w:val="BodyText"/>
    <w:qFormat/>
    <w:rsid w:val="0065273D"/>
    <w:rPr>
      <w:b/>
    </w:rPr>
  </w:style>
  <w:style w:type="character" w:styleId="Hyperlink">
    <w:name w:val="Hyperlink"/>
    <w:basedOn w:val="DefaultParagraphFont"/>
    <w:uiPriority w:val="99"/>
    <w:unhideWhenUsed/>
    <w:rsid w:val="00A063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4449</Characters>
  <Application>Microsoft Office Word</Application>
  <DocSecurity>0</DocSecurity>
  <Lines>120</Lines>
  <Paragraphs>92</Paragraphs>
  <ScaleCrop>false</ScaleCrop>
  <Company>Author-it Software Corporation Ltd.</Company>
  <LinksUpToDate>false</LinksUpToDate>
  <CharactersWithSpaces>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AURETH009 Diagnose and repair DC to DC converters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2023-12-19T06:27:00Z</dcterms:modified>
</cp:coreProperties>
</file>