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1078" w:rsidP="00BF1078">
      <w:pPr>
        <w:pStyle w:val="Title"/>
      </w:pPr>
      <w:r>
        <w:fldChar w:fldCharType="begin"/>
      </w:r>
      <w:r>
        <w:instrText xml:space="preserve"> TITLE   \* MERGEFORMAT </w:instrText>
      </w:r>
      <w:r>
        <w:fldChar w:fldCharType="separate"/>
      </w:r>
      <w:r>
        <w:t>Assessment Requirements for AURETH008 Diagnose and repair HVAC and rechargeable energy storage cooling systems in battery electric vehicle</w:t>
      </w:r>
      <w:r>
        <w:fldChar w:fldCharType="end"/>
      </w:r>
    </w:p>
    <w:p w:rsidR="00BF1078" w:rsidP="00BF1078">
      <w:pPr>
        <w:pStyle w:val="Version"/>
        <w:sectPr w:rsidSect="000336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36ED" w:rsidP="000336ED">
      <w:pPr>
        <w:pStyle w:val="SuperHeading"/>
      </w:pPr>
      <w:r w:rsidRPr="000336ED">
        <w:t>Assessment Requirements for AURETH008 Diagnose and repair HVAC and rechargeable energy storage cooling systems in battery electric vehicle</w:t>
      </w:r>
    </w:p>
    <w:p w:rsidR="00000000" w:rsidRPr="000336ED" w:rsidP="000336ED">
      <w:pPr>
        <w:pStyle w:val="Heading1"/>
      </w:pPr>
      <w:bookmarkStart w:id="1" w:name="O_771311"/>
      <w:bookmarkEnd w:id="1"/>
      <w:r w:rsidRPr="000336ED">
        <w:t>Modification History</w:t>
      </w:r>
    </w:p>
    <w:tbl>
      <w:tblPr>
        <w:tblW w:w="9639" w:type="dxa"/>
        <w:tblLayout w:type="fixed"/>
        <w:tblCellMar>
          <w:left w:w="62" w:type="dxa"/>
          <w:right w:w="62" w:type="dxa"/>
        </w:tblCellMar>
        <w:tblLook w:val="0000"/>
      </w:tblPr>
      <w:tblGrid>
        <w:gridCol w:w="2835"/>
        <w:gridCol w:w="6804"/>
      </w:tblGrid>
      <w:tr w:rsidTr="00BF107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6ED" w:rsidP="000336ED">
            <w:pPr>
              <w:pStyle w:val="BodyText"/>
            </w:pPr>
            <w:r w:rsidRPr="000336E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6ED">
            <w:pPr>
              <w:pStyle w:val="BodyText"/>
              <w:rPr>
                <w:lang w:val="en-NZ"/>
              </w:rPr>
            </w:pPr>
            <w:r w:rsidRPr="000336ED">
              <w:rPr>
                <w:rStyle w:val="SpecialBold"/>
              </w:rPr>
              <w:t>Comment</w:t>
            </w:r>
          </w:p>
        </w:tc>
      </w:tr>
      <w:tr w:rsidTr="00BF107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6ED">
            <w:pPr>
              <w:pStyle w:val="BodyText"/>
              <w:rPr>
                <w:lang w:val="en-NZ"/>
              </w:rPr>
            </w:pPr>
            <w:r w:rsidRPr="000336E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6ED" w:rsidP="000336ED">
            <w:pPr>
              <w:pStyle w:val="BodyText"/>
            </w:pPr>
            <w:r w:rsidRPr="000336ED">
              <w:t>New unit of competency.</w:t>
            </w:r>
          </w:p>
        </w:tc>
      </w:tr>
    </w:tbl>
    <w:p w:rsidR="00000000" w:rsidRPr="000336ED" w:rsidP="000336ED">
      <w:pPr>
        <w:pStyle w:val="BodyText"/>
      </w:pPr>
    </w:p>
    <w:p w:rsidR="00000000" w:rsidRPr="000336ED" w:rsidP="000336ED">
      <w:pPr>
        <w:pStyle w:val="AllowPageBreak"/>
      </w:pPr>
    </w:p>
    <w:p w:rsidR="00000000" w:rsidRPr="000336ED" w:rsidP="000336ED">
      <w:pPr>
        <w:pStyle w:val="Heading1"/>
      </w:pPr>
      <w:bookmarkStart w:id="2" w:name="O_771312"/>
      <w:bookmarkEnd w:id="2"/>
      <w:r w:rsidRPr="000336ED">
        <w:t>Performance Evidence</w:t>
      </w:r>
    </w:p>
    <w:p w:rsidR="00000000" w:rsidRPr="000336ED" w:rsidP="00BF1078">
      <w:pPr>
        <w:pStyle w:val="BodyText"/>
      </w:pPr>
      <w:r w:rsidRPr="000336ED">
        <w:t>Before competency can be determined, individuals must demonstrate they can perform the following according to the standard defined in the unit’s elements and performance criteria, range of conditions and foundation skills:</w:t>
      </w:r>
    </w:p>
    <w:p w:rsidR="00000000" w:rsidRPr="000336ED" w:rsidP="000336ED">
      <w:pPr>
        <w:pStyle w:val="ListBullet"/>
      </w:pPr>
      <w:r w:rsidRPr="000336ED">
        <w:t>diagnose an</w:t>
      </w:r>
      <w:r w:rsidRPr="000336ED">
        <w:t>d repair heating, ventilation and air conditioning (HVAC) system and rechargeable energy storage system (RESS) cooling system components on two different battery electric vehicles (BEVs), in which the work must involve:</w:t>
      </w:r>
    </w:p>
    <w:p w:rsidR="00000000" w:rsidRPr="000336ED" w:rsidP="000336ED">
      <w:pPr>
        <w:pStyle w:val="ListBullet2"/>
      </w:pPr>
      <w:r w:rsidRPr="000336ED">
        <w:t>repairing or replacing one HVAC system component to correct performance deficiencies</w:t>
      </w:r>
    </w:p>
    <w:p w:rsidR="00000000" w:rsidRPr="000336ED" w:rsidP="000336ED">
      <w:pPr>
        <w:pStyle w:val="ListBullet2"/>
      </w:pPr>
      <w:r w:rsidRPr="000336ED">
        <w:t>repairing or replacing one RESS cooling system component to correct performance deficiencies.</w:t>
      </w:r>
    </w:p>
    <w:p w:rsidR="00000000" w:rsidRPr="000336ED" w:rsidP="000336ED">
      <w:pPr>
        <w:pStyle w:val="AllowPageBreak"/>
      </w:pPr>
    </w:p>
    <w:p w:rsidR="00000000" w:rsidRPr="000336ED" w:rsidP="000336ED">
      <w:pPr>
        <w:pStyle w:val="Heading1"/>
      </w:pPr>
      <w:bookmarkStart w:id="3" w:name="O_771313"/>
      <w:bookmarkEnd w:id="3"/>
      <w:r w:rsidRPr="000336ED">
        <w:t>Knowledge Evidence</w:t>
      </w:r>
    </w:p>
    <w:p w:rsidR="00000000" w:rsidRPr="000336ED" w:rsidP="00BF1078">
      <w:pPr>
        <w:pStyle w:val="BodyText"/>
      </w:pPr>
      <w:r w:rsidRPr="000336ED">
        <w:t>Individuals must be able to demonstrate k</w:t>
      </w:r>
      <w:r w:rsidRPr="000336ED">
        <w:t>nowledge of:</w:t>
      </w:r>
    </w:p>
    <w:p w:rsidR="00000000" w:rsidRPr="000336ED" w:rsidP="000336ED">
      <w:pPr>
        <w:pStyle w:val="ListBullet"/>
      </w:pPr>
      <w:r w:rsidRPr="000336ED">
        <w:t>work health and safety (WHS) and occupational health and safety (OHS) requirements relating to diagnosing and repairing HVAC and RESS cooling systems, including procedures for:</w:t>
      </w:r>
    </w:p>
    <w:p w:rsidR="00000000" w:rsidRPr="000336ED" w:rsidP="000336ED">
      <w:pPr>
        <w:pStyle w:val="ListBullet2"/>
      </w:pPr>
      <w:r w:rsidRPr="000336ED">
        <w:t>identifying hazards and controlling risks associated with:</w:t>
      </w:r>
    </w:p>
    <w:p w:rsidR="00000000" w:rsidRPr="000336ED" w:rsidP="000336ED">
      <w:pPr>
        <w:pStyle w:val="ListBullet3"/>
      </w:pPr>
      <w:r w:rsidRPr="000336ED">
        <w:t>work</w:t>
      </w:r>
      <w:r w:rsidRPr="000336ED">
        <w:t>ing with high voltages in BEV electrical systems</w:t>
      </w:r>
    </w:p>
    <w:p w:rsidR="00000000" w:rsidRPr="000336ED" w:rsidP="000336ED">
      <w:pPr>
        <w:pStyle w:val="ListBullet3"/>
      </w:pPr>
      <w:r w:rsidRPr="000336ED">
        <w:t>wearing jewellery while working around high electrical currents</w:t>
      </w:r>
    </w:p>
    <w:p w:rsidR="00000000" w:rsidRPr="000336ED" w:rsidP="000336ED">
      <w:pPr>
        <w:pStyle w:val="ListBullet3"/>
      </w:pPr>
      <w:r w:rsidRPr="000336ED">
        <w:t>working with refrigerants at boiling point given risk of frostbite</w:t>
      </w:r>
    </w:p>
    <w:p w:rsidR="00000000" w:rsidRPr="000336ED" w:rsidP="000336ED">
      <w:pPr>
        <w:pStyle w:val="ListBullet3"/>
      </w:pPr>
      <w:r w:rsidRPr="000336ED">
        <w:t>working with system lubricants, including carcinogenic oils</w:t>
      </w:r>
    </w:p>
    <w:p w:rsidR="00000000" w:rsidRPr="000336ED" w:rsidP="000336ED">
      <w:pPr>
        <w:pStyle w:val="ListBullet3"/>
      </w:pPr>
      <w:r w:rsidRPr="000336ED">
        <w:t>handling flammable refrigerants</w:t>
      </w:r>
    </w:p>
    <w:p w:rsidR="00000000" w:rsidRPr="000336ED" w:rsidP="000336ED">
      <w:pPr>
        <w:pStyle w:val="ListBullet2"/>
      </w:pPr>
      <w:r w:rsidRPr="000336ED">
        <w:t>determining appropriate procedures for minimising risk associated with hazards, including applying electrical safety precautions:</w:t>
      </w:r>
    </w:p>
    <w:p w:rsidR="00000000" w:rsidRPr="000336ED" w:rsidP="000336ED">
      <w:pPr>
        <w:pStyle w:val="ListBullet3"/>
      </w:pPr>
      <w:r w:rsidRPr="000336ED">
        <w:t>using personal protective equipment (PPE), including electrical safety gloves with 1000 volt</w:t>
      </w:r>
      <w:r w:rsidRPr="000336ED">
        <w:t xml:space="preserve"> rating and high voltage (HV) insulating mat with Australian standards rating</w:t>
      </w:r>
    </w:p>
    <w:p w:rsidR="00000000" w:rsidRPr="000336ED" w:rsidP="000336ED">
      <w:pPr>
        <w:pStyle w:val="ListBullet3"/>
      </w:pPr>
      <w:r w:rsidRPr="000336ED">
        <w:t>identifying and using fire safety equipment as appropriate</w:t>
      </w:r>
    </w:p>
    <w:p w:rsidR="00000000" w:rsidRPr="000336ED" w:rsidP="000336ED">
      <w:pPr>
        <w:pStyle w:val="ListBullet3"/>
      </w:pPr>
      <w:r w:rsidRPr="000336ED">
        <w:t>using the ‘one hand rule’</w:t>
      </w:r>
    </w:p>
    <w:p w:rsidR="00000000" w:rsidRPr="000336ED" w:rsidP="000336ED">
      <w:pPr>
        <w:pStyle w:val="ListBullet3"/>
      </w:pPr>
      <w:r w:rsidRPr="000336ED">
        <w:t>following live system warning tags and signs</w:t>
      </w:r>
    </w:p>
    <w:p w:rsidR="00000000" w:rsidRPr="000336ED" w:rsidP="000336ED">
      <w:pPr>
        <w:pStyle w:val="ListBullet3"/>
      </w:pPr>
      <w:r w:rsidRPr="000336ED">
        <w:t>depowering the vehicle</w:t>
      </w:r>
    </w:p>
    <w:p w:rsidR="00000000" w:rsidRPr="000336ED" w:rsidP="000336ED">
      <w:pPr>
        <w:pStyle w:val="ListBullet3"/>
      </w:pPr>
      <w:r w:rsidRPr="000336ED">
        <w:t>isolating the HV RESS ele</w:t>
      </w:r>
      <w:r w:rsidRPr="000336ED">
        <w:t>ctrical supply</w:t>
      </w:r>
    </w:p>
    <w:p w:rsidR="00000000" w:rsidRPr="000336ED" w:rsidP="000336ED">
      <w:pPr>
        <w:pStyle w:val="ListBullet3"/>
      </w:pPr>
      <w:r w:rsidRPr="000336ED">
        <w:t>stabilising the vehicle electrical system</w:t>
      </w:r>
    </w:p>
    <w:p w:rsidR="00000000" w:rsidRPr="000336ED" w:rsidP="000336ED">
      <w:pPr>
        <w:pStyle w:val="ListBullet"/>
      </w:pPr>
      <w:r w:rsidRPr="000336ED">
        <w:t>environmental requirements, including procedures for:</w:t>
      </w:r>
    </w:p>
    <w:p w:rsidR="00000000" w:rsidRPr="000336ED" w:rsidP="000336ED">
      <w:pPr>
        <w:pStyle w:val="ListBullet2"/>
      </w:pPr>
      <w:r w:rsidRPr="000336ED">
        <w:t>trapping, storing and disposing of waste released from HVAC and RESS cooling systems</w:t>
      </w:r>
    </w:p>
    <w:p w:rsidR="00000000" w:rsidRPr="000336ED" w:rsidP="000336ED">
      <w:pPr>
        <w:pStyle w:val="ListBullet2"/>
      </w:pPr>
      <w:r w:rsidRPr="000336ED">
        <w:t>preventing the escape of refrigerant to the atmosphere</w:t>
      </w:r>
    </w:p>
    <w:p w:rsidR="00000000" w:rsidRPr="000336ED" w:rsidP="000336ED">
      <w:pPr>
        <w:pStyle w:val="ListBullet"/>
      </w:pPr>
      <w:r w:rsidRPr="000336ED">
        <w:t>key requirements of AS 5732 Electric vehicle operations: Maintenance and repair</w:t>
      </w:r>
    </w:p>
    <w:p w:rsidR="00000000" w:rsidRPr="000336ED" w:rsidP="000336ED">
      <w:pPr>
        <w:pStyle w:val="ListBullet"/>
      </w:pPr>
      <w:r w:rsidRPr="000336ED">
        <w:t>operating principles of HVAC systems and RESS cooling systems and associated components, including:</w:t>
      </w:r>
    </w:p>
    <w:p w:rsidR="00000000" w:rsidRPr="000336ED" w:rsidP="000336ED">
      <w:pPr>
        <w:pStyle w:val="ListBullet2"/>
      </w:pPr>
      <w:r w:rsidRPr="000336ED">
        <w:t>types of HVAC systems, including engine operated and electric motor operate</w:t>
      </w:r>
      <w:r w:rsidRPr="000336ED">
        <w:t>d systems</w:t>
      </w:r>
    </w:p>
    <w:p w:rsidR="00000000" w:rsidRPr="000336ED" w:rsidP="000336ED">
      <w:pPr>
        <w:pStyle w:val="ListBullet2"/>
      </w:pPr>
      <w:r w:rsidRPr="000336ED">
        <w:t>types of RESS and RESS charging</w:t>
      </w:r>
    </w:p>
    <w:p w:rsidR="00000000" w:rsidRPr="000336ED" w:rsidP="000336ED">
      <w:pPr>
        <w:pStyle w:val="ListBullet2"/>
      </w:pPr>
      <w:r w:rsidRPr="000336ED">
        <w:t>reasons for cooling the RESS</w:t>
      </w:r>
    </w:p>
    <w:p w:rsidR="00000000" w:rsidRPr="000336ED" w:rsidP="000336ED">
      <w:pPr>
        <w:pStyle w:val="ListBullet"/>
      </w:pPr>
      <w:r w:rsidRPr="000336ED">
        <w:t>application, purpose and operation of HVAC systems and RESS cooling systems and components, including:</w:t>
      </w:r>
    </w:p>
    <w:p w:rsidR="00000000" w:rsidRPr="000336ED" w:rsidP="000336ED">
      <w:pPr>
        <w:pStyle w:val="ListBullet2"/>
      </w:pPr>
      <w:r w:rsidRPr="000336ED">
        <w:t>alternating current (AC) electric motor compressors</w:t>
      </w:r>
    </w:p>
    <w:p w:rsidR="00000000" w:rsidRPr="000336ED" w:rsidP="000336ED">
      <w:pPr>
        <w:pStyle w:val="ListBullet2"/>
      </w:pPr>
      <w:r w:rsidRPr="000336ED">
        <w:t>HVAC control units</w:t>
      </w:r>
    </w:p>
    <w:p w:rsidR="00000000" w:rsidRPr="000336ED" w:rsidP="000336ED">
      <w:pPr>
        <w:pStyle w:val="ListBullet2"/>
      </w:pPr>
      <w:r w:rsidRPr="000336ED">
        <w:t>HVAC cont</w:t>
      </w:r>
      <w:r w:rsidRPr="000336ED">
        <w:t>rol unit inputs and outputs</w:t>
      </w:r>
    </w:p>
    <w:p w:rsidR="00000000" w:rsidRPr="000336ED" w:rsidP="000336ED">
      <w:pPr>
        <w:pStyle w:val="ListBullet2"/>
      </w:pPr>
      <w:r w:rsidRPr="000336ED">
        <w:t>HVAC ejector cycle systems</w:t>
      </w:r>
    </w:p>
    <w:p w:rsidR="00000000" w:rsidRPr="000336ED" w:rsidP="000336ED">
      <w:pPr>
        <w:pStyle w:val="ListBullet2"/>
      </w:pPr>
      <w:r w:rsidRPr="000336ED">
        <w:t>RESS cooling systems, including air cooling, liquid cooling and HVAC cooled systems</w:t>
      </w:r>
    </w:p>
    <w:p w:rsidR="00000000" w:rsidRPr="000336ED" w:rsidP="000336ED">
      <w:pPr>
        <w:pStyle w:val="ListBullet"/>
      </w:pPr>
      <w:r w:rsidRPr="000336ED">
        <w:t>diagnostic testing procedures for HVAC and RESS cooling systems, including:</w:t>
      </w:r>
    </w:p>
    <w:p w:rsidR="00000000" w:rsidRPr="000336ED" w:rsidP="000336ED">
      <w:pPr>
        <w:pStyle w:val="ListBullet2"/>
      </w:pPr>
      <w:r w:rsidRPr="000336ED">
        <w:t>accessing and interpreting scan tool sy</w:t>
      </w:r>
      <w:r w:rsidRPr="000336ED">
        <w:t>stem data, including:</w:t>
      </w:r>
    </w:p>
    <w:p w:rsidR="00000000" w:rsidRPr="000336ED" w:rsidP="000336ED">
      <w:pPr>
        <w:pStyle w:val="ListBullet3"/>
      </w:pPr>
      <w:r w:rsidRPr="000336ED">
        <w:t>diagnostic trouble codes (DTCs)</w:t>
      </w:r>
    </w:p>
    <w:p w:rsidR="00000000" w:rsidRPr="000336ED" w:rsidP="000336ED">
      <w:pPr>
        <w:pStyle w:val="ListBullet3"/>
      </w:pPr>
      <w:r w:rsidRPr="000336ED">
        <w:t>live data</w:t>
      </w:r>
    </w:p>
    <w:p w:rsidR="00000000" w:rsidRPr="000336ED" w:rsidP="000336ED">
      <w:pPr>
        <w:pStyle w:val="ListBullet3"/>
      </w:pPr>
      <w:r w:rsidRPr="000336ED">
        <w:t>freeze frame data</w:t>
      </w:r>
    </w:p>
    <w:p w:rsidR="00000000" w:rsidRPr="000336ED" w:rsidP="000336ED">
      <w:pPr>
        <w:pStyle w:val="ListBullet3"/>
      </w:pPr>
      <w:r w:rsidRPr="000336ED">
        <w:t>waveforms</w:t>
      </w:r>
    </w:p>
    <w:p w:rsidR="00000000" w:rsidRPr="000336ED" w:rsidP="000336ED">
      <w:pPr>
        <w:pStyle w:val="ListBullet2"/>
      </w:pPr>
      <w:r w:rsidRPr="000336ED">
        <w:t>using diagnostic flow charts</w:t>
      </w:r>
    </w:p>
    <w:p w:rsidR="00000000" w:rsidRPr="000336ED" w:rsidP="000336ED">
      <w:pPr>
        <w:pStyle w:val="ListBullet2"/>
      </w:pPr>
      <w:r w:rsidRPr="000336ED">
        <w:t>testing electrical systems, including procedures for:</w:t>
      </w:r>
    </w:p>
    <w:p w:rsidR="00000000" w:rsidRPr="000336ED" w:rsidP="000336ED">
      <w:pPr>
        <w:pStyle w:val="ListBullet3"/>
      </w:pPr>
      <w:r w:rsidRPr="000336ED">
        <w:t>accessing electrical terminals and using test probes without damaging connectors, fuse holders or wiring</w:t>
      </w:r>
    </w:p>
    <w:p w:rsidR="00000000" w:rsidRPr="000336ED" w:rsidP="000336ED">
      <w:pPr>
        <w:pStyle w:val="ListBullet3"/>
      </w:pPr>
      <w:r w:rsidRPr="000336ED">
        <w:t>determining damage to compressor motor windings</w:t>
      </w:r>
    </w:p>
    <w:p w:rsidR="00000000" w:rsidRPr="000336ED" w:rsidP="000336ED">
      <w:pPr>
        <w:pStyle w:val="ListBullet3"/>
      </w:pPr>
      <w:r w:rsidRPr="000336ED">
        <w:t>checking insulation resistance of compressor motor windings</w:t>
      </w:r>
    </w:p>
    <w:p w:rsidR="00000000" w:rsidRPr="000336ED" w:rsidP="000336ED">
      <w:pPr>
        <w:pStyle w:val="ListBullet3"/>
      </w:pPr>
      <w:r w:rsidRPr="000336ED">
        <w:t>checking routing and damage to HV cabling</w:t>
      </w:r>
    </w:p>
    <w:p w:rsidR="00000000" w:rsidRPr="000336ED" w:rsidP="000336ED">
      <w:pPr>
        <w:pStyle w:val="ListBullet3"/>
      </w:pPr>
      <w:r w:rsidRPr="000336ED">
        <w:t>H</w:t>
      </w:r>
      <w:r w:rsidRPr="000336ED">
        <w:t>VAC dynamic and static testing</w:t>
      </w:r>
    </w:p>
    <w:p w:rsidR="00000000" w:rsidRPr="000336ED" w:rsidP="000336ED">
      <w:pPr>
        <w:pStyle w:val="ListBullet3"/>
      </w:pPr>
      <w:r w:rsidRPr="000336ED">
        <w:t>analysing abnormal noise</w:t>
      </w:r>
    </w:p>
    <w:p w:rsidR="00000000" w:rsidRPr="000336ED" w:rsidP="000336ED">
      <w:pPr>
        <w:pStyle w:val="ListBullet3"/>
      </w:pPr>
      <w:r w:rsidRPr="000336ED">
        <w:t>analysing component failure</w:t>
      </w:r>
    </w:p>
    <w:p w:rsidR="00000000" w:rsidRPr="000336ED" w:rsidP="000336ED">
      <w:pPr>
        <w:pStyle w:val="ListBullet"/>
      </w:pPr>
      <w:r w:rsidRPr="000336ED">
        <w:t>repair procedures for HVAC systems and RESS cooling systems, including:</w:t>
      </w:r>
    </w:p>
    <w:p w:rsidR="00000000" w:rsidRPr="000336ED" w:rsidP="000336ED">
      <w:pPr>
        <w:pStyle w:val="ListBullet2"/>
      </w:pPr>
      <w:r w:rsidRPr="000336ED">
        <w:t>tightening connections</w:t>
      </w:r>
    </w:p>
    <w:p w:rsidR="00000000" w:rsidRPr="000336ED" w:rsidP="000336ED">
      <w:pPr>
        <w:pStyle w:val="ListBullet2"/>
      </w:pPr>
      <w:r w:rsidRPr="000336ED">
        <w:t>replacing faulty or damaged cable connections</w:t>
      </w:r>
    </w:p>
    <w:p w:rsidR="00000000" w:rsidRPr="000336ED" w:rsidP="000336ED">
      <w:pPr>
        <w:pStyle w:val="ListBullet2"/>
      </w:pPr>
      <w:r w:rsidRPr="000336ED">
        <w:t>removing and replacing faulty or damaged components</w:t>
      </w:r>
    </w:p>
    <w:p w:rsidR="00000000" w:rsidRPr="000336ED" w:rsidP="000336ED">
      <w:pPr>
        <w:pStyle w:val="ListBullet"/>
      </w:pPr>
      <w:r w:rsidRPr="000336ED">
        <w:t>post-repair testing procedures for HVAC and RESS cooling systems, including:</w:t>
      </w:r>
    </w:p>
    <w:p w:rsidR="00000000" w:rsidRPr="000336ED" w:rsidP="000336ED">
      <w:pPr>
        <w:pStyle w:val="ListBullet2"/>
      </w:pPr>
      <w:r w:rsidRPr="000336ED">
        <w:t>DTC clearing procedures</w:t>
      </w:r>
    </w:p>
    <w:p w:rsidR="00000000" w:rsidRPr="000336ED" w:rsidP="000336ED">
      <w:pPr>
        <w:pStyle w:val="ListBullet2"/>
      </w:pPr>
      <w:r w:rsidRPr="000336ED">
        <w:t xml:space="preserve">checking for electrical connector mating </w:t>
      </w:r>
    </w:p>
    <w:p w:rsidR="00000000" w:rsidRPr="000336ED" w:rsidP="000336ED">
      <w:pPr>
        <w:pStyle w:val="ListBullet2"/>
      </w:pPr>
      <w:r w:rsidRPr="000336ED">
        <w:t>static and dynamic performance tests of HVAC systems and RE</w:t>
      </w:r>
      <w:r w:rsidRPr="000336ED">
        <w:t>SS cooling systems.</w:t>
      </w:r>
    </w:p>
    <w:p w:rsidR="00000000" w:rsidRPr="000336ED" w:rsidP="000336ED">
      <w:pPr>
        <w:pStyle w:val="AllowPageBreak"/>
      </w:pPr>
    </w:p>
    <w:p w:rsidR="00000000" w:rsidRPr="000336ED" w:rsidP="000336ED">
      <w:pPr>
        <w:pStyle w:val="Heading1"/>
      </w:pPr>
      <w:bookmarkStart w:id="4" w:name="O_771314"/>
      <w:bookmarkEnd w:id="4"/>
      <w:r w:rsidRPr="000336ED">
        <w:t>Assessment Conditions</w:t>
      </w:r>
    </w:p>
    <w:p w:rsidR="00000000" w:rsidRPr="000336ED" w:rsidP="00BF1078">
      <w:pPr>
        <w:pStyle w:val="BodyText"/>
      </w:pPr>
      <w:r w:rsidRPr="000336ED">
        <w:t>Assessors must satisfy NVR/AQTF assessor requirements and hold an Australian Refrigerant Council (ARC) Refrigerant Handling licence.</w:t>
      </w:r>
    </w:p>
    <w:p w:rsidR="00000000" w:rsidRPr="000336ED" w:rsidP="00BF1078">
      <w:pPr>
        <w:pStyle w:val="BodyText"/>
      </w:pPr>
      <w:r w:rsidRPr="000336ED">
        <w:t>Competency is to be assessed in the workplace or a simulated en</w:t>
      </w:r>
      <w:r w:rsidRPr="000336ED">
        <w:t>vironment that accurately reflects performance in a real workplace setting.</w:t>
      </w:r>
    </w:p>
    <w:p w:rsidR="00000000" w:rsidRPr="000336ED" w:rsidP="00BF1078">
      <w:pPr>
        <w:pStyle w:val="BodyText"/>
      </w:pPr>
      <w:r w:rsidRPr="000336ED">
        <w:t>Assessment must include direct observation of tasks.</w:t>
      </w:r>
    </w:p>
    <w:p w:rsidR="00000000" w:rsidRPr="000336ED" w:rsidP="00BF1078">
      <w:pPr>
        <w:pStyle w:val="BodyText"/>
      </w:pPr>
      <w:r w:rsidRPr="000336ED">
        <w:t>Where assessment of competency inclu</w:t>
      </w:r>
      <w:r w:rsidRPr="000336ED">
        <w:t>des third-party evidence, individuals must provide evidence that links them to the BEV HVAC and RESS cooling systems that they have worked on, e.g. repair orders.</w:t>
      </w:r>
    </w:p>
    <w:p w:rsidR="00000000" w:rsidRPr="000336ED" w:rsidP="00BF1078">
      <w:pPr>
        <w:pStyle w:val="BodyText"/>
      </w:pPr>
      <w:r w:rsidRPr="000336ED">
        <w:t>Assessors must verify performance evidence through questioning on skills and knowledge to en</w:t>
      </w:r>
      <w:r w:rsidRPr="000336ED">
        <w:t>sure correct interpretation and application.</w:t>
      </w:r>
    </w:p>
    <w:p w:rsidR="00000000" w:rsidRPr="000336ED" w:rsidP="00BF1078">
      <w:pPr>
        <w:pStyle w:val="BodyText"/>
      </w:pPr>
      <w:r w:rsidRPr="000336ED">
        <w:t>The following resources must be made available:</w:t>
      </w:r>
    </w:p>
    <w:p w:rsidR="00000000" w:rsidRPr="000336ED" w:rsidP="000336ED">
      <w:pPr>
        <w:pStyle w:val="ListBullet"/>
      </w:pPr>
      <w:r w:rsidRPr="000336ED">
        <w:t>automotive repair workplace or simulated workplace</w:t>
      </w:r>
    </w:p>
    <w:p w:rsidR="00000000" w:rsidRPr="000336ED" w:rsidP="000336ED">
      <w:pPr>
        <w:pStyle w:val="ListBullet"/>
      </w:pPr>
      <w:r w:rsidRPr="000336ED">
        <w:t>ARC accredited service decal sticker (ARCtick)</w:t>
      </w:r>
    </w:p>
    <w:p w:rsidR="00000000" w:rsidRPr="000336ED" w:rsidP="000336ED">
      <w:pPr>
        <w:pStyle w:val="ListBullet"/>
      </w:pPr>
      <w:r w:rsidRPr="000336ED">
        <w:t>PPE and safety equipment, including electrical safety gloves wi</w:t>
      </w:r>
      <w:r w:rsidRPr="000336ED">
        <w:t>th 1000 volt rating and HV insulating mat with Australian standards rating</w:t>
      </w:r>
    </w:p>
    <w:p w:rsidR="00000000" w:rsidRPr="000336ED" w:rsidP="000336ED">
      <w:pPr>
        <w:pStyle w:val="ListBullet"/>
      </w:pPr>
      <w:r w:rsidRPr="000336ED">
        <w:t>manufacturer specifications for BEV HVAC and RESS cooling systems</w:t>
      </w:r>
    </w:p>
    <w:p w:rsidR="00000000" w:rsidRPr="000336ED" w:rsidP="000336ED">
      <w:pPr>
        <w:pStyle w:val="ListBullet"/>
      </w:pPr>
      <w:r w:rsidRPr="000336ED">
        <w:t xml:space="preserve">AS 5732 Electric vehicle operations: Maintenance and repair </w:t>
      </w:r>
    </w:p>
    <w:p w:rsidR="00000000" w:rsidRPr="000336ED" w:rsidP="000336ED">
      <w:pPr>
        <w:pStyle w:val="ListBullet"/>
      </w:pPr>
      <w:r w:rsidRPr="000336ED">
        <w:t>two different BEVs with HVAC and RESS cooling system c</w:t>
      </w:r>
      <w:r w:rsidRPr="000336ED">
        <w:t>omponents accessible for diagnosis and repair or replacement activities</w:t>
      </w:r>
    </w:p>
    <w:p w:rsidR="00000000" w:rsidRPr="000336ED" w:rsidP="000336ED">
      <w:pPr>
        <w:pStyle w:val="ListBullet"/>
      </w:pPr>
      <w:r w:rsidRPr="000336ED">
        <w:t xml:space="preserve">electrical diagnostic equipment appropriate to the BEV HVAC and RESS cooling being diagnosed and repaired as specified under tools and equipment in the range of conditions </w:t>
      </w:r>
    </w:p>
    <w:p w:rsidR="00000000" w:rsidRPr="000336ED" w:rsidP="000336ED">
      <w:pPr>
        <w:pStyle w:val="ListBullet"/>
      </w:pPr>
      <w:r w:rsidRPr="000336ED">
        <w:t>tools, equi</w:t>
      </w:r>
      <w:r w:rsidRPr="000336ED">
        <w:t>pment and materials appropriate for repairing HVAC and RESS cooling systems in BEVs.</w:t>
      </w:r>
    </w:p>
    <w:p w:rsidR="00000000" w:rsidRPr="000336ED" w:rsidP="000336ED">
      <w:pPr>
        <w:pStyle w:val="AllowPageBreak"/>
      </w:pPr>
    </w:p>
    <w:p w:rsidR="00000000" w:rsidRPr="000336ED" w:rsidP="000336ED">
      <w:pPr>
        <w:pStyle w:val="Heading1"/>
      </w:pPr>
      <w:bookmarkStart w:id="5" w:name="O_771317"/>
      <w:bookmarkEnd w:id="5"/>
      <w:r w:rsidRPr="000336ED">
        <w:t>Links</w:t>
      </w:r>
    </w:p>
    <w:p w:rsidR="00000000" w:rsidRPr="000336ED" w:rsidP="00BF1078">
      <w:pPr>
        <w:pStyle w:val="BodyText"/>
      </w:pPr>
      <w:r w:rsidRPr="000336E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10E67">
        <w:rPr>
          <w:rStyle w:val="Hyperlink"/>
        </w:rPr>
        <w:t>https://vetnet.gov.au/Pages/TrainingDocs.aspx?q=b4278d82-d487-4070-a8c4-78045ec695b1</w:t>
      </w:r>
      <w:r>
        <w:fldChar w:fldCharType="end"/>
      </w:r>
    </w:p>
    <w:p w:rsidR="00000000" w:rsidRPr="000336ED" w:rsidP="00BF1078">
      <w:pPr>
        <w:pStyle w:val="BodyText"/>
      </w:pPr>
      <w:r w:rsidRPr="000336ED">
        <w:t>Co</w:t>
      </w:r>
      <w:r w:rsidRPr="000336ED">
        <w:t xml:space="preserve">mpanion Volume implementation guides are found in VETNet - </w:t>
      </w:r>
      <w:r>
        <w:fldChar w:fldCharType="begin"/>
      </w:r>
      <w:r>
        <w:instrText xml:space="preserve"> HYPERLINK "https://vetnet.gov.au/Pages/TrainingDocs.aspx?q=b4278d82-d487-4070-a8c4-78045ec695b1" </w:instrText>
      </w:r>
      <w:r>
        <w:fldChar w:fldCharType="separate"/>
      </w:r>
      <w:r w:rsidRPr="00610E67">
        <w:rPr>
          <w:rStyle w:val="Hyperlink"/>
        </w:rPr>
        <w:t>https://vetnet.gov.au/Pages/TrainingDocs.aspx?q=b4278d82-d487-4070-a8c4-78045ec695b1</w:t>
      </w:r>
      <w:r>
        <w:fldChar w:fldCharType="end"/>
      </w:r>
    </w:p>
    <w:p w:rsidR="00000000" w:rsidRPr="000336ED" w:rsidP="000336ED"/>
    <w:sectPr w:rsidSect="000336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6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6ED" w:rsidRPr="00BF1078" w:rsidP="00BF10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6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078" w:rsidP="000336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1078" w:rsidP="000336E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F1078" w:rsidP="000336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6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0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36ED" w:rsidRPr="00BF1078" w:rsidP="00BF10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6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078" w:rsidRPr="002D2AF8" w:rsidP="000336ED">
    <w:pPr>
      <w:pStyle w:val="Header"/>
      <w:framePr w:wrap="around"/>
    </w:pPr>
    <w:r>
      <w:fldChar w:fldCharType="begin"/>
    </w:r>
    <w:r>
      <w:instrText xml:space="preserve"> TITLE   \* MERGEFORMAT </w:instrText>
    </w:r>
    <w:r>
      <w:fldChar w:fldCharType="separate"/>
    </w:r>
    <w:r>
      <w:t>Assessment Requirements for AURETH008 Diagnose and repair HVAC and rechargeable energy storage cooling systems in battery electric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BF1078" w:rsidP="000336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78D7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2211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FEFD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6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36ED"/>
    <w:pPr>
      <w:spacing w:before="360" w:after="60"/>
      <w:outlineLvl w:val="0"/>
    </w:pPr>
    <w:rPr>
      <w:sz w:val="32"/>
    </w:rPr>
  </w:style>
  <w:style w:type="paragraph" w:styleId="Heading2">
    <w:name w:val="heading 2"/>
    <w:basedOn w:val="HeadingBase"/>
    <w:next w:val="BodyText"/>
    <w:link w:val="Heading2Char"/>
    <w:qFormat/>
    <w:rsid w:val="000336ED"/>
    <w:pPr>
      <w:keepLines/>
      <w:spacing w:before="240" w:after="120"/>
      <w:outlineLvl w:val="1"/>
    </w:pPr>
    <w:rPr>
      <w:sz w:val="28"/>
      <w:szCs w:val="40"/>
    </w:rPr>
  </w:style>
  <w:style w:type="paragraph" w:styleId="Heading3">
    <w:name w:val="heading 3"/>
    <w:basedOn w:val="HeadingBase"/>
    <w:next w:val="BodyText"/>
    <w:link w:val="Heading3Char"/>
    <w:qFormat/>
    <w:rsid w:val="000336ED"/>
    <w:pPr>
      <w:spacing w:before="180" w:after="120"/>
      <w:outlineLvl w:val="2"/>
    </w:pPr>
    <w:rPr>
      <w:spacing w:val="-10"/>
      <w:kern w:val="32"/>
    </w:rPr>
  </w:style>
  <w:style w:type="paragraph" w:styleId="Heading4">
    <w:name w:val="heading 4"/>
    <w:basedOn w:val="HeadingBase"/>
    <w:next w:val="BodyText"/>
    <w:link w:val="Heading4Char"/>
    <w:qFormat/>
    <w:rsid w:val="000336ED"/>
    <w:pPr>
      <w:spacing w:before="160" w:after="120"/>
      <w:outlineLvl w:val="3"/>
    </w:pPr>
    <w:rPr>
      <w:sz w:val="22"/>
    </w:rPr>
  </w:style>
  <w:style w:type="paragraph" w:styleId="Heading5">
    <w:name w:val="heading 5"/>
    <w:basedOn w:val="HeadingBase"/>
    <w:next w:val="Normal"/>
    <w:link w:val="Heading5Char"/>
    <w:qFormat/>
    <w:rsid w:val="000336ED"/>
    <w:pPr>
      <w:spacing w:before="80"/>
      <w:outlineLvl w:val="4"/>
    </w:pPr>
    <w:rPr>
      <w:color w:val="918585"/>
      <w:sz w:val="20"/>
    </w:rPr>
  </w:style>
  <w:style w:type="paragraph" w:styleId="Heading6">
    <w:name w:val="heading 6"/>
    <w:basedOn w:val="HeadingBase"/>
    <w:next w:val="Normal"/>
    <w:link w:val="Heading6Char"/>
    <w:qFormat/>
    <w:rsid w:val="000336ED"/>
    <w:pPr>
      <w:spacing w:before="60"/>
      <w:outlineLvl w:val="5"/>
    </w:pPr>
    <w:rPr>
      <w:color w:val="918585"/>
      <w:sz w:val="20"/>
    </w:rPr>
  </w:style>
  <w:style w:type="paragraph" w:styleId="Heading7">
    <w:name w:val="heading 7"/>
    <w:basedOn w:val="Normal"/>
    <w:next w:val="Normal"/>
    <w:link w:val="Heading7Char"/>
    <w:qFormat/>
    <w:rsid w:val="000336ED"/>
    <w:pPr>
      <w:ind w:left="720"/>
      <w:outlineLvl w:val="6"/>
    </w:pPr>
    <w:rPr>
      <w:i/>
    </w:rPr>
  </w:style>
  <w:style w:type="paragraph" w:styleId="Heading8">
    <w:name w:val="heading 8"/>
    <w:basedOn w:val="Normal"/>
    <w:next w:val="Normal"/>
    <w:link w:val="Heading8Char"/>
    <w:qFormat/>
    <w:rsid w:val="000336ED"/>
    <w:pPr>
      <w:ind w:left="720"/>
      <w:outlineLvl w:val="7"/>
    </w:pPr>
    <w:rPr>
      <w:i/>
    </w:rPr>
  </w:style>
  <w:style w:type="paragraph" w:styleId="Heading9">
    <w:name w:val="heading 9"/>
    <w:basedOn w:val="Normal"/>
    <w:next w:val="Normal"/>
    <w:link w:val="Heading9Char"/>
    <w:qFormat/>
    <w:rsid w:val="000336ED"/>
    <w:pPr>
      <w:ind w:left="720"/>
      <w:outlineLvl w:val="8"/>
    </w:pPr>
    <w:rPr>
      <w:i/>
    </w:rPr>
  </w:style>
  <w:style w:type="character" w:default="1" w:styleId="DefaultParagraphFont">
    <w:name w:val="Default Paragraph Font"/>
    <w:uiPriority w:val="1"/>
    <w:unhideWhenUsed/>
    <w:rsid w:val="000336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36ED"/>
  </w:style>
  <w:style w:type="character" w:customStyle="1" w:styleId="Heading1Char">
    <w:name w:val="Heading 1 Char"/>
    <w:basedOn w:val="DefaultParagraphFont"/>
    <w:link w:val="Heading1"/>
    <w:rsid w:val="000336ED"/>
    <w:rPr>
      <w:rFonts w:ascii="Times New Roman" w:eastAsia="Times New Roman" w:hAnsi="Times New Roman" w:cs="Times New Roman"/>
      <w:b/>
      <w:sz w:val="32"/>
      <w:szCs w:val="20"/>
      <w:lang w:eastAsia="en-US"/>
    </w:rPr>
  </w:style>
  <w:style w:type="paragraph" w:styleId="BodyText">
    <w:name w:val="Body Text"/>
    <w:basedOn w:val="Normal"/>
    <w:link w:val="BodyTextChar"/>
    <w:rsid w:val="000336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36ED"/>
    <w:rPr>
      <w:rFonts w:ascii="Times New Roman" w:eastAsia="Times New Roman" w:hAnsi="Times New Roman" w:cs="Times New Roman"/>
      <w:sz w:val="24"/>
      <w:lang w:eastAsia="en-US"/>
    </w:rPr>
  </w:style>
  <w:style w:type="paragraph" w:styleId="ListBullet">
    <w:name w:val="List Bullet"/>
    <w:basedOn w:val="List"/>
    <w:rsid w:val="000336ED"/>
    <w:pPr>
      <w:numPr>
        <w:numId w:val="13"/>
      </w:numPr>
      <w:tabs>
        <w:tab w:val="clear" w:pos="340"/>
      </w:tabs>
      <w:spacing w:before="40" w:after="40"/>
    </w:pPr>
  </w:style>
  <w:style w:type="character" w:customStyle="1" w:styleId="SpecialBold">
    <w:name w:val="Special Bold"/>
    <w:basedOn w:val="DefaultParagraphFont"/>
    <w:rsid w:val="000336ED"/>
    <w:rPr>
      <w:b/>
      <w:spacing w:val="0"/>
    </w:rPr>
  </w:style>
  <w:style w:type="paragraph" w:styleId="ListBullet2">
    <w:name w:val="List Bullet 2"/>
    <w:basedOn w:val="List2"/>
    <w:rsid w:val="000336ED"/>
    <w:pPr>
      <w:numPr>
        <w:numId w:val="14"/>
      </w:numPr>
      <w:tabs>
        <w:tab w:val="clear" w:pos="680"/>
      </w:tabs>
    </w:pPr>
  </w:style>
  <w:style w:type="paragraph" w:customStyle="1" w:styleId="SuperHeading">
    <w:name w:val="SuperHeading"/>
    <w:basedOn w:val="Normal"/>
    <w:rsid w:val="000336ED"/>
    <w:pPr>
      <w:spacing w:before="240" w:after="120"/>
      <w:outlineLvl w:val="0"/>
    </w:pPr>
    <w:rPr>
      <w:rFonts w:ascii="Times New Roman" w:hAnsi="Times New Roman"/>
      <w:b/>
      <w:sz w:val="32"/>
    </w:rPr>
  </w:style>
  <w:style w:type="paragraph" w:customStyle="1" w:styleId="AllowPageBreak">
    <w:name w:val="AllowPageBreak"/>
    <w:rsid w:val="000336E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336ED"/>
    <w:pPr>
      <w:numPr>
        <w:numId w:val="3"/>
      </w:numPr>
      <w:tabs>
        <w:tab w:val="clear" w:pos="1021"/>
      </w:tabs>
      <w:ind w:left="1037" w:hanging="357"/>
    </w:pPr>
  </w:style>
  <w:style w:type="character" w:customStyle="1" w:styleId="Heading2Char">
    <w:name w:val="Heading 2 Char"/>
    <w:basedOn w:val="DefaultParagraphFont"/>
    <w:link w:val="Heading2"/>
    <w:rsid w:val="000336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36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36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36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36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36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36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36ED"/>
    <w:rPr>
      <w:rFonts w:ascii="Courier New" w:eastAsia="Times New Roman" w:hAnsi="Courier New" w:cs="Times New Roman"/>
      <w:i/>
      <w:szCs w:val="20"/>
      <w:lang w:eastAsia="en-US"/>
    </w:rPr>
  </w:style>
  <w:style w:type="paragraph" w:customStyle="1" w:styleId="HeadingBase">
    <w:name w:val="Heading Base"/>
    <w:rsid w:val="000336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36ED"/>
    <w:pPr>
      <w:tabs>
        <w:tab w:val="right" w:leader="dot" w:pos="9072"/>
      </w:tabs>
      <w:ind w:left="567"/>
    </w:pPr>
    <w:rPr>
      <w:szCs w:val="22"/>
    </w:rPr>
  </w:style>
  <w:style w:type="paragraph" w:customStyle="1" w:styleId="TOCBase">
    <w:name w:val="TOC Base"/>
    <w:rsid w:val="000336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36ED"/>
    <w:pPr>
      <w:tabs>
        <w:tab w:val="right" w:leader="dot" w:pos="9072"/>
      </w:tabs>
      <w:spacing w:before="40" w:after="40"/>
      <w:ind w:left="284"/>
    </w:pPr>
    <w:rPr>
      <w:rFonts w:ascii="Times New Roman" w:hAnsi="Times New Roman"/>
    </w:rPr>
  </w:style>
  <w:style w:type="paragraph" w:styleId="TOC1">
    <w:name w:val="toc 1"/>
    <w:basedOn w:val="TOCBase"/>
    <w:next w:val="Normal"/>
    <w:rsid w:val="000336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36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36ED"/>
    <w:rPr>
      <w:rFonts w:ascii="Times New Roman" w:eastAsia="Times New Roman" w:hAnsi="Times New Roman" w:cs="Times New Roman"/>
      <w:sz w:val="16"/>
      <w:lang w:eastAsia="en-US"/>
    </w:rPr>
  </w:style>
  <w:style w:type="paragraph" w:styleId="Title">
    <w:name w:val="Title"/>
    <w:basedOn w:val="HeadingBase"/>
    <w:link w:val="TitleChar"/>
    <w:qFormat/>
    <w:rsid w:val="000336ED"/>
    <w:pPr>
      <w:spacing w:before="5040"/>
      <w:jc w:val="center"/>
    </w:pPr>
    <w:rPr>
      <w:sz w:val="48"/>
      <w:szCs w:val="72"/>
      <w:lang w:val="en-US"/>
    </w:rPr>
  </w:style>
  <w:style w:type="character" w:customStyle="1" w:styleId="TitleChar">
    <w:name w:val="Title Char"/>
    <w:basedOn w:val="DefaultParagraphFont"/>
    <w:link w:val="Title"/>
    <w:rsid w:val="000336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36ED"/>
    <w:pPr>
      <w:tabs>
        <w:tab w:val="left" w:pos="3600"/>
        <w:tab w:val="left" w:pos="3958"/>
      </w:tabs>
    </w:pPr>
  </w:style>
  <w:style w:type="paragraph" w:styleId="List">
    <w:name w:val="List"/>
    <w:basedOn w:val="BodyText"/>
    <w:next w:val="BodyText"/>
    <w:rsid w:val="000336ED"/>
    <w:pPr>
      <w:tabs>
        <w:tab w:val="left" w:pos="340"/>
      </w:tabs>
      <w:spacing w:before="60" w:after="60"/>
      <w:ind w:left="340" w:hanging="340"/>
    </w:pPr>
  </w:style>
  <w:style w:type="paragraph" w:customStyle="1" w:styleId="Note">
    <w:name w:val="Note"/>
    <w:basedOn w:val="BodyText"/>
    <w:rsid w:val="000336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36ED"/>
    <w:pPr>
      <w:framePr w:wrap="auto" w:hAnchor="text" w:y="6049"/>
    </w:pPr>
    <w:rPr>
      <w:color w:val="000000"/>
      <w:sz w:val="40"/>
    </w:rPr>
  </w:style>
  <w:style w:type="paragraph" w:customStyle="1" w:styleId="TOCTitle">
    <w:name w:val="TOCTitle"/>
    <w:basedOn w:val="Heading1"/>
    <w:rsid w:val="000336ED"/>
    <w:pPr>
      <w:spacing w:after="240"/>
      <w:jc w:val="center"/>
      <w:outlineLvl w:val="9"/>
    </w:pPr>
    <w:rPr>
      <w:caps/>
    </w:rPr>
  </w:style>
  <w:style w:type="paragraph" w:customStyle="1" w:styleId="Version">
    <w:name w:val="Version"/>
    <w:rsid w:val="000336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36ED"/>
    <w:pPr>
      <w:keepNext w:val="0"/>
      <w:tabs>
        <w:tab w:val="right" w:pos="4176"/>
      </w:tabs>
      <w:ind w:left="198" w:hanging="198"/>
    </w:pPr>
    <w:rPr>
      <w:rFonts w:ascii="Garamond" w:hAnsi="Garamond"/>
    </w:rPr>
  </w:style>
  <w:style w:type="paragraph" w:styleId="IndexHeading">
    <w:name w:val="index heading"/>
    <w:basedOn w:val="Normal"/>
    <w:next w:val="Index1"/>
    <w:semiHidden/>
    <w:rsid w:val="000336ED"/>
    <w:pPr>
      <w:spacing w:before="120" w:after="120"/>
    </w:pPr>
    <w:rPr>
      <w:rFonts w:ascii="Arial" w:hAnsi="Arial"/>
      <w:b/>
      <w:color w:val="918585"/>
      <w:sz w:val="24"/>
    </w:rPr>
  </w:style>
  <w:style w:type="paragraph" w:styleId="Header">
    <w:name w:val="header"/>
    <w:basedOn w:val="Normal"/>
    <w:link w:val="HeaderChar"/>
    <w:rsid w:val="000336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36ED"/>
    <w:rPr>
      <w:rFonts w:ascii="Times New Roman" w:eastAsia="Times New Roman" w:hAnsi="Times New Roman" w:cs="Times New Roman"/>
      <w:sz w:val="16"/>
      <w:szCs w:val="20"/>
      <w:lang w:val="en-GB" w:eastAsia="en-US"/>
    </w:rPr>
  </w:style>
  <w:style w:type="paragraph" w:customStyle="1" w:styleId="Chapter">
    <w:name w:val="Chapter"/>
    <w:basedOn w:val="Normal"/>
    <w:rsid w:val="000336ED"/>
    <w:pPr>
      <w:spacing w:before="240"/>
    </w:pPr>
    <w:rPr>
      <w:rFonts w:ascii="Times New Roman" w:hAnsi="Times New Roman"/>
      <w:smallCaps/>
      <w:spacing w:val="80"/>
      <w:sz w:val="28"/>
    </w:rPr>
  </w:style>
  <w:style w:type="paragraph" w:customStyle="1" w:styleId="InChapter">
    <w:name w:val="InChapter"/>
    <w:basedOn w:val="Heading3"/>
    <w:rsid w:val="000336ED"/>
    <w:pPr>
      <w:spacing w:after="240"/>
      <w:outlineLvl w:val="9"/>
    </w:pPr>
    <w:rPr>
      <w:noProof/>
    </w:rPr>
  </w:style>
  <w:style w:type="paragraph" w:styleId="Index2">
    <w:name w:val="index 2"/>
    <w:basedOn w:val="Normal"/>
    <w:next w:val="Normal"/>
    <w:semiHidden/>
    <w:rsid w:val="000336ED"/>
    <w:pPr>
      <w:tabs>
        <w:tab w:val="right" w:pos="4176"/>
      </w:tabs>
      <w:ind w:left="568" w:hanging="284"/>
    </w:pPr>
    <w:rPr>
      <w:rFonts w:ascii="Garamond" w:hAnsi="Garamond"/>
    </w:rPr>
  </w:style>
  <w:style w:type="paragraph" w:customStyle="1" w:styleId="Byline">
    <w:name w:val="Byline"/>
    <w:rsid w:val="000336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36ED"/>
    <w:pPr>
      <w:tabs>
        <w:tab w:val="clear" w:pos="3600"/>
        <w:tab w:val="clear" w:pos="3958"/>
      </w:tabs>
      <w:jc w:val="right"/>
    </w:pPr>
  </w:style>
  <w:style w:type="character" w:styleId="Emphasis">
    <w:name w:val="Emphasis"/>
    <w:basedOn w:val="DefaultParagraphFont"/>
    <w:qFormat/>
    <w:rsid w:val="000336ED"/>
    <w:rPr>
      <w:i/>
    </w:rPr>
  </w:style>
  <w:style w:type="paragraph" w:styleId="Caption">
    <w:name w:val="caption"/>
    <w:basedOn w:val="BodyText"/>
    <w:next w:val="Normal"/>
    <w:qFormat/>
    <w:rsid w:val="000336ED"/>
    <w:pPr>
      <w:framePr w:w="2268" w:hSpace="181" w:vSpace="181" w:wrap="around" w:vAnchor="text" w:hAnchor="page" w:x="1135" w:y="285" w:anchorLock="1"/>
    </w:pPr>
    <w:rPr>
      <w:i/>
    </w:rPr>
  </w:style>
  <w:style w:type="paragraph" w:customStyle="1" w:styleId="MiniTOCTitle">
    <w:name w:val="MiniTOCTitle"/>
    <w:basedOn w:val="Heading4"/>
    <w:rsid w:val="000336ED"/>
    <w:pPr>
      <w:spacing w:before="240"/>
      <w:outlineLvl w:val="9"/>
    </w:pPr>
    <w:rPr>
      <w:noProof/>
      <w:sz w:val="24"/>
    </w:rPr>
  </w:style>
  <w:style w:type="paragraph" w:customStyle="1" w:styleId="MiniTOCItem">
    <w:name w:val="MiniTOCItem"/>
    <w:basedOn w:val="ListBullet"/>
    <w:rsid w:val="000336ED"/>
    <w:pPr>
      <w:numPr>
        <w:numId w:val="0"/>
      </w:numPr>
      <w:tabs>
        <w:tab w:val="right" w:leader="dot" w:pos="6521"/>
      </w:tabs>
      <w:spacing w:before="0" w:after="0"/>
    </w:pPr>
  </w:style>
  <w:style w:type="paragraph" w:customStyle="1" w:styleId="TOFTitle">
    <w:name w:val="TOFTitle"/>
    <w:basedOn w:val="TOCTitle"/>
    <w:rsid w:val="000336ED"/>
  </w:style>
  <w:style w:type="paragraph" w:styleId="TableofFigures">
    <w:name w:val="table of figures"/>
    <w:basedOn w:val="Normal"/>
    <w:next w:val="Normal"/>
    <w:semiHidden/>
    <w:rsid w:val="000336ED"/>
    <w:pPr>
      <w:tabs>
        <w:tab w:val="right" w:leader="dot" w:pos="9072"/>
      </w:tabs>
      <w:ind w:left="970" w:hanging="403"/>
    </w:pPr>
    <w:rPr>
      <w:rFonts w:ascii="Times New Roman" w:hAnsi="Times New Roman"/>
      <w:b/>
    </w:rPr>
  </w:style>
  <w:style w:type="paragraph" w:styleId="ListNumber">
    <w:name w:val="List Number"/>
    <w:basedOn w:val="List"/>
    <w:rsid w:val="000336ED"/>
    <w:pPr>
      <w:numPr>
        <w:numId w:val="16"/>
      </w:numPr>
      <w:tabs>
        <w:tab w:val="clear" w:pos="340"/>
      </w:tabs>
    </w:pPr>
  </w:style>
  <w:style w:type="character" w:customStyle="1" w:styleId="WingdingSymbols">
    <w:name w:val="Wingding Symbols"/>
    <w:rsid w:val="000336ED"/>
    <w:rPr>
      <w:rFonts w:ascii="Wingdings" w:hAnsi="Wingdings"/>
    </w:rPr>
  </w:style>
  <w:style w:type="paragraph" w:customStyle="1" w:styleId="TableHeading">
    <w:name w:val="Table Heading"/>
    <w:basedOn w:val="HeadingBase"/>
    <w:rsid w:val="000336ED"/>
    <w:pPr>
      <w:keepLines/>
      <w:pBdr>
        <w:bottom w:val="single" w:sz="6" w:space="1" w:color="918585"/>
      </w:pBdr>
      <w:spacing w:before="240"/>
    </w:pPr>
  </w:style>
  <w:style w:type="character" w:customStyle="1" w:styleId="HotSpot">
    <w:name w:val="HotSpot"/>
    <w:rsid w:val="000336ED"/>
    <w:rPr>
      <w:color w:val="0033CC"/>
      <w:u w:val="none"/>
    </w:rPr>
  </w:style>
  <w:style w:type="paragraph" w:customStyle="1" w:styleId="BodyTextRight">
    <w:name w:val="Body Text Right"/>
    <w:basedOn w:val="BodyText"/>
    <w:rsid w:val="000336ED"/>
    <w:pPr>
      <w:spacing w:before="0" w:after="0"/>
      <w:jc w:val="right"/>
    </w:pPr>
  </w:style>
  <w:style w:type="paragraph" w:styleId="Index3">
    <w:name w:val="index 3"/>
    <w:basedOn w:val="ListNumber2"/>
    <w:next w:val="Normal"/>
    <w:semiHidden/>
    <w:rsid w:val="000336ED"/>
    <w:pPr>
      <w:numPr>
        <w:numId w:val="0"/>
      </w:numPr>
      <w:tabs>
        <w:tab w:val="right" w:leader="dot" w:pos="4176"/>
      </w:tabs>
    </w:pPr>
  </w:style>
  <w:style w:type="paragraph" w:styleId="ListNumber2">
    <w:name w:val="List Number 2"/>
    <w:basedOn w:val="List2"/>
    <w:rsid w:val="000336ED"/>
    <w:pPr>
      <w:numPr>
        <w:numId w:val="11"/>
      </w:numPr>
      <w:tabs>
        <w:tab w:val="clear" w:pos="1060"/>
      </w:tabs>
    </w:pPr>
  </w:style>
  <w:style w:type="paragraph" w:customStyle="1" w:styleId="MarginNote">
    <w:name w:val="Margin Note"/>
    <w:basedOn w:val="BodyText"/>
    <w:rsid w:val="000336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36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36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36ED"/>
    <w:rPr>
      <w:sz w:val="32"/>
    </w:rPr>
  </w:style>
  <w:style w:type="paragraph" w:customStyle="1" w:styleId="HeadingProcedure">
    <w:name w:val="Heading Procedure"/>
    <w:basedOn w:val="HeadingBase"/>
    <w:next w:val="Normal"/>
    <w:rsid w:val="000336ED"/>
    <w:pPr>
      <w:tabs>
        <w:tab w:val="left" w:pos="0"/>
      </w:tabs>
      <w:spacing w:before="120" w:after="60"/>
    </w:pPr>
    <w:rPr>
      <w:i/>
      <w:color w:val="918585"/>
      <w:sz w:val="22"/>
    </w:rPr>
  </w:style>
  <w:style w:type="paragraph" w:customStyle="1" w:styleId="TableBodyText">
    <w:name w:val="Table Body Text"/>
    <w:basedOn w:val="BodyText"/>
    <w:rsid w:val="000336ED"/>
    <w:pPr>
      <w:spacing w:before="60" w:after="60"/>
    </w:pPr>
  </w:style>
  <w:style w:type="paragraph" w:styleId="ListContinue">
    <w:name w:val="List Continue"/>
    <w:basedOn w:val="List"/>
    <w:rsid w:val="000336ED"/>
    <w:pPr>
      <w:ind w:firstLine="0"/>
    </w:pPr>
  </w:style>
  <w:style w:type="paragraph" w:customStyle="1" w:styleId="ListNote">
    <w:name w:val="List Note"/>
    <w:basedOn w:val="List"/>
    <w:rsid w:val="000336ED"/>
    <w:pPr>
      <w:pBdr>
        <w:top w:val="single" w:sz="6" w:space="2" w:color="918585"/>
        <w:bottom w:val="single" w:sz="6" w:space="2" w:color="918585"/>
      </w:pBdr>
      <w:tabs>
        <w:tab w:val="left" w:pos="1021"/>
      </w:tabs>
      <w:ind w:firstLine="0"/>
    </w:pPr>
  </w:style>
  <w:style w:type="paragraph" w:customStyle="1" w:styleId="Warning">
    <w:name w:val="Warning"/>
    <w:basedOn w:val="BodyText"/>
    <w:rsid w:val="000336ED"/>
    <w:pPr>
      <w:shd w:val="clear" w:color="auto" w:fill="D9D9D9"/>
      <w:tabs>
        <w:tab w:val="left" w:pos="992"/>
      </w:tabs>
      <w:ind w:left="119" w:right="119"/>
    </w:pPr>
    <w:rPr>
      <w:sz w:val="20"/>
    </w:rPr>
  </w:style>
  <w:style w:type="paragraph" w:customStyle="1" w:styleId="MarginIcons">
    <w:name w:val="Margin Icons"/>
    <w:basedOn w:val="BodyText"/>
    <w:rsid w:val="000336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36ED"/>
    <w:rPr>
      <w:rFonts w:ascii="Courier New" w:hAnsi="Courier New"/>
    </w:rPr>
  </w:style>
  <w:style w:type="paragraph" w:customStyle="1" w:styleId="NoteBullet">
    <w:name w:val="Note Bullet"/>
    <w:basedOn w:val="Note"/>
    <w:rsid w:val="000336ED"/>
    <w:pPr>
      <w:tabs>
        <w:tab w:val="clear" w:pos="680"/>
      </w:tabs>
      <w:spacing w:before="60" w:after="60"/>
    </w:pPr>
  </w:style>
  <w:style w:type="paragraph" w:customStyle="1" w:styleId="SubHeading2">
    <w:name w:val="SubHeading2"/>
    <w:basedOn w:val="HeadingBase"/>
    <w:rsid w:val="000336ED"/>
    <w:pPr>
      <w:spacing w:before="240" w:after="60"/>
    </w:pPr>
    <w:rPr>
      <w:sz w:val="20"/>
    </w:rPr>
  </w:style>
  <w:style w:type="paragraph" w:customStyle="1" w:styleId="SubHeading1">
    <w:name w:val="SubHeading1"/>
    <w:basedOn w:val="HeadingBase"/>
    <w:rsid w:val="000336ED"/>
    <w:pPr>
      <w:spacing w:before="240" w:after="60"/>
    </w:pPr>
    <w:rPr>
      <w:color w:val="918585"/>
      <w:sz w:val="22"/>
    </w:rPr>
  </w:style>
  <w:style w:type="paragraph" w:customStyle="1" w:styleId="SideHeading">
    <w:name w:val="Side Heading"/>
    <w:basedOn w:val="HeadingBase"/>
    <w:rsid w:val="000336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36ED"/>
    <w:pPr>
      <w:numPr>
        <w:numId w:val="12"/>
      </w:numPr>
    </w:pPr>
  </w:style>
  <w:style w:type="paragraph" w:styleId="PlainText">
    <w:name w:val="Plain Text"/>
    <w:basedOn w:val="Normal"/>
    <w:link w:val="PlainTextChar"/>
    <w:rsid w:val="000336ED"/>
    <w:rPr>
      <w:sz w:val="20"/>
    </w:rPr>
  </w:style>
  <w:style w:type="character" w:customStyle="1" w:styleId="PlainTextChar">
    <w:name w:val="Plain Text Char"/>
    <w:basedOn w:val="DefaultParagraphFont"/>
    <w:link w:val="PlainText"/>
    <w:rsid w:val="000336ED"/>
    <w:rPr>
      <w:rFonts w:ascii="Courier New" w:eastAsia="Times New Roman" w:hAnsi="Courier New" w:cs="Times New Roman"/>
      <w:sz w:val="20"/>
      <w:szCs w:val="20"/>
      <w:lang w:eastAsia="en-US"/>
    </w:rPr>
  </w:style>
  <w:style w:type="character" w:customStyle="1" w:styleId="MenuOption">
    <w:name w:val="Menu Option"/>
    <w:basedOn w:val="DefaultParagraphFont"/>
    <w:rsid w:val="000336ED"/>
    <w:rPr>
      <w:b/>
      <w:smallCaps/>
    </w:rPr>
  </w:style>
  <w:style w:type="paragraph" w:customStyle="1" w:styleId="TableListNumber">
    <w:name w:val="Table List Number"/>
    <w:basedOn w:val="ListNumber"/>
    <w:rsid w:val="000336ED"/>
    <w:pPr>
      <w:numPr>
        <w:numId w:val="0"/>
      </w:numPr>
    </w:pPr>
  </w:style>
  <w:style w:type="paragraph" w:styleId="TOC4">
    <w:name w:val="toc 4"/>
    <w:basedOn w:val="TOCBase"/>
    <w:next w:val="Normal"/>
    <w:semiHidden/>
    <w:rsid w:val="000336ED"/>
    <w:pPr>
      <w:tabs>
        <w:tab w:val="right" w:leader="dot" w:pos="9071"/>
      </w:tabs>
      <w:ind w:left="1701"/>
    </w:pPr>
  </w:style>
  <w:style w:type="paragraph" w:customStyle="1" w:styleId="ListAlpha">
    <w:name w:val="List Alpha"/>
    <w:basedOn w:val="List"/>
    <w:rsid w:val="000336ED"/>
    <w:pPr>
      <w:numPr>
        <w:numId w:val="10"/>
      </w:numPr>
    </w:pPr>
  </w:style>
  <w:style w:type="paragraph" w:customStyle="1" w:styleId="ListAlpha2">
    <w:name w:val="List Alpha 2"/>
    <w:basedOn w:val="List2"/>
    <w:rsid w:val="000336ED"/>
    <w:pPr>
      <w:numPr>
        <w:numId w:val="9"/>
      </w:numPr>
    </w:pPr>
  </w:style>
  <w:style w:type="paragraph" w:styleId="List2">
    <w:name w:val="List 2"/>
    <w:basedOn w:val="BodyText"/>
    <w:rsid w:val="000336ED"/>
    <w:pPr>
      <w:tabs>
        <w:tab w:val="left" w:pos="680"/>
      </w:tabs>
      <w:spacing w:before="60" w:after="60"/>
      <w:ind w:left="680" w:hanging="340"/>
    </w:pPr>
  </w:style>
  <w:style w:type="paragraph" w:styleId="List3">
    <w:name w:val="List 3"/>
    <w:basedOn w:val="BodyText"/>
    <w:rsid w:val="000336ED"/>
    <w:pPr>
      <w:tabs>
        <w:tab w:val="left" w:pos="1021"/>
      </w:tabs>
      <w:spacing w:before="60" w:after="60"/>
      <w:ind w:left="1020" w:hanging="340"/>
    </w:pPr>
  </w:style>
  <w:style w:type="paragraph" w:styleId="List4">
    <w:name w:val="List 4"/>
    <w:basedOn w:val="BodyText"/>
    <w:rsid w:val="000336ED"/>
    <w:pPr>
      <w:tabs>
        <w:tab w:val="left" w:pos="1361"/>
      </w:tabs>
      <w:spacing w:before="60" w:after="60"/>
      <w:ind w:left="1361" w:hanging="340"/>
    </w:pPr>
  </w:style>
  <w:style w:type="paragraph" w:styleId="List5">
    <w:name w:val="List 5"/>
    <w:basedOn w:val="BodyText"/>
    <w:rsid w:val="000336ED"/>
    <w:pPr>
      <w:tabs>
        <w:tab w:val="left" w:pos="1701"/>
      </w:tabs>
      <w:spacing w:before="60" w:after="60"/>
      <w:ind w:left="1701" w:hanging="340"/>
    </w:pPr>
  </w:style>
  <w:style w:type="paragraph" w:styleId="ListBullet4">
    <w:name w:val="List Bullet 4"/>
    <w:basedOn w:val="List4"/>
    <w:rsid w:val="000336ED"/>
    <w:pPr>
      <w:numPr>
        <w:numId w:val="4"/>
      </w:numPr>
      <w:tabs>
        <w:tab w:val="clear" w:pos="1361"/>
      </w:tabs>
    </w:pPr>
  </w:style>
  <w:style w:type="paragraph" w:styleId="ListBullet5">
    <w:name w:val="List Bullet 5"/>
    <w:basedOn w:val="List5"/>
    <w:rsid w:val="000336ED"/>
    <w:pPr>
      <w:numPr>
        <w:numId w:val="5"/>
      </w:numPr>
    </w:pPr>
  </w:style>
  <w:style w:type="paragraph" w:styleId="ListContinue2">
    <w:name w:val="List Continue 2"/>
    <w:basedOn w:val="List2"/>
    <w:rsid w:val="000336ED"/>
    <w:pPr>
      <w:ind w:firstLine="0"/>
    </w:pPr>
  </w:style>
  <w:style w:type="paragraph" w:styleId="ListContinue3">
    <w:name w:val="List Continue 3"/>
    <w:basedOn w:val="List3"/>
    <w:rsid w:val="000336ED"/>
    <w:pPr>
      <w:ind w:left="1021" w:firstLine="0"/>
    </w:pPr>
  </w:style>
  <w:style w:type="paragraph" w:styleId="ListContinue4">
    <w:name w:val="List Continue 4"/>
    <w:basedOn w:val="List4"/>
    <w:rsid w:val="000336ED"/>
    <w:pPr>
      <w:ind w:firstLine="0"/>
    </w:pPr>
  </w:style>
  <w:style w:type="paragraph" w:styleId="ListContinue5">
    <w:name w:val="List Continue 5"/>
    <w:basedOn w:val="List5"/>
    <w:rsid w:val="000336ED"/>
    <w:pPr>
      <w:ind w:firstLine="0"/>
    </w:pPr>
  </w:style>
  <w:style w:type="paragraph" w:styleId="ListNumber3">
    <w:name w:val="List Number 3"/>
    <w:basedOn w:val="List3"/>
    <w:rsid w:val="000336ED"/>
    <w:pPr>
      <w:numPr>
        <w:numId w:val="6"/>
      </w:numPr>
    </w:pPr>
  </w:style>
  <w:style w:type="paragraph" w:styleId="ListNumber4">
    <w:name w:val="List Number 4"/>
    <w:basedOn w:val="List4"/>
    <w:rsid w:val="000336ED"/>
    <w:pPr>
      <w:numPr>
        <w:numId w:val="7"/>
      </w:numPr>
    </w:pPr>
  </w:style>
  <w:style w:type="paragraph" w:styleId="ListNumber5">
    <w:name w:val="List Number 5"/>
    <w:basedOn w:val="List5"/>
    <w:rsid w:val="000336ED"/>
    <w:pPr>
      <w:numPr>
        <w:numId w:val="8"/>
      </w:numPr>
    </w:pPr>
  </w:style>
  <w:style w:type="paragraph" w:styleId="BlockText">
    <w:name w:val="Block Text"/>
    <w:basedOn w:val="Normal"/>
    <w:rsid w:val="000336ED"/>
    <w:pPr>
      <w:spacing w:after="120"/>
      <w:ind w:left="1440" w:right="1440"/>
    </w:pPr>
  </w:style>
  <w:style w:type="character" w:customStyle="1" w:styleId="Subscript">
    <w:name w:val="Subscript"/>
    <w:basedOn w:val="DefaultParagraphFont"/>
    <w:rsid w:val="000336ED"/>
    <w:rPr>
      <w:sz w:val="16"/>
      <w:vertAlign w:val="subscript"/>
    </w:rPr>
  </w:style>
  <w:style w:type="character" w:customStyle="1" w:styleId="Superscript">
    <w:name w:val="Superscript"/>
    <w:basedOn w:val="DefaultParagraphFont"/>
    <w:rsid w:val="000336ED"/>
    <w:rPr>
      <w:sz w:val="16"/>
      <w:vertAlign w:val="superscript"/>
    </w:rPr>
  </w:style>
  <w:style w:type="character" w:customStyle="1" w:styleId="Symbols">
    <w:name w:val="Symbols"/>
    <w:basedOn w:val="DefaultParagraphFont"/>
    <w:rsid w:val="000336ED"/>
    <w:rPr>
      <w:rFonts w:ascii="Symbol" w:hAnsi="Symbol"/>
    </w:rPr>
  </w:style>
  <w:style w:type="character" w:customStyle="1" w:styleId="MenuOptions">
    <w:name w:val="Menu Options"/>
    <w:basedOn w:val="DefaultParagraphFont"/>
    <w:rsid w:val="000336ED"/>
    <w:rPr>
      <w:rFonts w:ascii="Arial Narrow" w:hAnsi="Arial Narrow"/>
      <w:smallCaps/>
    </w:rPr>
  </w:style>
  <w:style w:type="character" w:customStyle="1" w:styleId="Buttons">
    <w:name w:val="Buttons"/>
    <w:basedOn w:val="DefaultParagraphFont"/>
    <w:rsid w:val="000336ED"/>
    <w:rPr>
      <w:b/>
    </w:rPr>
  </w:style>
  <w:style w:type="character" w:customStyle="1" w:styleId="Underlined">
    <w:name w:val="Underlined"/>
    <w:basedOn w:val="DefaultParagraphFont"/>
    <w:rsid w:val="000336ED"/>
    <w:rPr>
      <w:u w:val="single"/>
    </w:rPr>
  </w:style>
  <w:style w:type="paragraph" w:customStyle="1" w:styleId="TableBodyTextRight">
    <w:name w:val="Table Body Text Right"/>
    <w:basedOn w:val="TableBodyText"/>
    <w:rsid w:val="000336ED"/>
    <w:pPr>
      <w:widowControl w:val="0"/>
      <w:autoSpaceDE w:val="0"/>
      <w:autoSpaceDN w:val="0"/>
      <w:adjustRightInd w:val="0"/>
      <w:jc w:val="right"/>
    </w:pPr>
    <w:rPr>
      <w:rFonts w:cs="Arial"/>
      <w:szCs w:val="18"/>
    </w:rPr>
  </w:style>
  <w:style w:type="paragraph" w:customStyle="1" w:styleId="CopyrightText">
    <w:name w:val="Copyright Text"/>
    <w:basedOn w:val="BodyText"/>
    <w:rsid w:val="000336ED"/>
    <w:rPr>
      <w:sz w:val="18"/>
    </w:rPr>
  </w:style>
  <w:style w:type="paragraph" w:customStyle="1" w:styleId="BodySmallRight">
    <w:name w:val="Body Small Right"/>
    <w:basedOn w:val="BodyTextRight"/>
    <w:rsid w:val="000336ED"/>
    <w:rPr>
      <w:sz w:val="18"/>
      <w:szCs w:val="18"/>
    </w:rPr>
  </w:style>
  <w:style w:type="paragraph" w:customStyle="1" w:styleId="MarginEdition">
    <w:name w:val="Margin Edition"/>
    <w:basedOn w:val="MarginNote"/>
    <w:rsid w:val="000336ED"/>
    <w:pPr>
      <w:spacing w:before="0" w:after="0"/>
    </w:pPr>
    <w:rPr>
      <w:rFonts w:ascii="Times New Roman" w:hAnsi="Times New Roman"/>
      <w:color w:val="999999"/>
    </w:rPr>
  </w:style>
  <w:style w:type="paragraph" w:customStyle="1" w:styleId="Spacer">
    <w:name w:val="Spacer"/>
    <w:basedOn w:val="Normal"/>
    <w:rsid w:val="000336ED"/>
    <w:rPr>
      <w:sz w:val="2"/>
      <w:szCs w:val="2"/>
    </w:rPr>
  </w:style>
  <w:style w:type="character" w:customStyle="1" w:styleId="Small">
    <w:name w:val="Small"/>
    <w:basedOn w:val="DefaultParagraphFont"/>
    <w:rsid w:val="000336ED"/>
    <w:rPr>
      <w:sz w:val="16"/>
    </w:rPr>
  </w:style>
  <w:style w:type="paragraph" w:customStyle="1" w:styleId="WideTable">
    <w:name w:val="Wide Table"/>
    <w:basedOn w:val="Normal"/>
    <w:rsid w:val="000336ED"/>
    <w:pPr>
      <w:ind w:left="-1418"/>
    </w:pPr>
    <w:rPr>
      <w:sz w:val="2"/>
      <w:szCs w:val="2"/>
    </w:rPr>
  </w:style>
  <w:style w:type="character" w:styleId="PageNumber">
    <w:name w:val="page number"/>
    <w:basedOn w:val="DefaultParagraphFont"/>
    <w:rsid w:val="000336ED"/>
  </w:style>
  <w:style w:type="paragraph" w:styleId="Quote">
    <w:name w:val="Quote"/>
    <w:basedOn w:val="Heading1"/>
    <w:link w:val="QuoteChar"/>
    <w:qFormat/>
    <w:rsid w:val="000336ED"/>
    <w:rPr>
      <w:b w:val="0"/>
      <w:sz w:val="72"/>
      <w:szCs w:val="72"/>
      <w:lang w:val="en-NZ"/>
    </w:rPr>
  </w:style>
  <w:style w:type="character" w:customStyle="1" w:styleId="QuoteChar">
    <w:name w:val="Quote Char"/>
    <w:basedOn w:val="DefaultParagraphFont"/>
    <w:link w:val="Quote"/>
    <w:rsid w:val="000336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36ED"/>
    <w:pPr>
      <w:pageBreakBefore/>
    </w:pPr>
  </w:style>
  <w:style w:type="paragraph" w:customStyle="1" w:styleId="Border">
    <w:name w:val="Border"/>
    <w:basedOn w:val="Normal"/>
    <w:qFormat/>
    <w:rsid w:val="000336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36ED"/>
    <w:rPr>
      <w:b/>
      <w:bCs/>
      <w:i/>
      <w:iCs/>
      <w:color w:val="auto"/>
    </w:rPr>
  </w:style>
  <w:style w:type="paragraph" w:styleId="IntenseQuote">
    <w:name w:val="Intense Quote"/>
    <w:basedOn w:val="Normal"/>
    <w:next w:val="Normal"/>
    <w:link w:val="IntenseQuoteChar"/>
    <w:uiPriority w:val="30"/>
    <w:qFormat/>
    <w:rsid w:val="000336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36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36ED"/>
    <w:rPr>
      <w:smallCaps/>
      <w:color w:val="auto"/>
      <w:u w:val="single"/>
    </w:rPr>
  </w:style>
  <w:style w:type="character" w:styleId="IntenseReference">
    <w:name w:val="Intense Reference"/>
    <w:basedOn w:val="DefaultParagraphFont"/>
    <w:uiPriority w:val="32"/>
    <w:qFormat/>
    <w:rsid w:val="000336ED"/>
    <w:rPr>
      <w:b/>
      <w:bCs/>
      <w:smallCaps/>
      <w:color w:val="auto"/>
      <w:spacing w:val="5"/>
      <w:u w:val="single"/>
    </w:rPr>
  </w:style>
  <w:style w:type="paragraph" w:customStyle="1" w:styleId="2ColumnHeading">
    <w:name w:val="2Column Heading"/>
    <w:basedOn w:val="BodyText"/>
    <w:qFormat/>
    <w:rsid w:val="000336ED"/>
    <w:pPr>
      <w:spacing w:after="60"/>
      <w:ind w:left="-2268"/>
    </w:pPr>
    <w:rPr>
      <w:b/>
    </w:rPr>
  </w:style>
  <w:style w:type="paragraph" w:customStyle="1" w:styleId="Heading1TOC">
    <w:name w:val="Heading1 TOC"/>
    <w:basedOn w:val="Normal"/>
    <w:qFormat/>
    <w:rsid w:val="000336ED"/>
    <w:pPr>
      <w:spacing w:before="240" w:after="120"/>
    </w:pPr>
    <w:rPr>
      <w:rFonts w:ascii="Times New Roman" w:hAnsi="Times New Roman"/>
      <w:b/>
      <w:sz w:val="32"/>
    </w:rPr>
  </w:style>
  <w:style w:type="paragraph" w:customStyle="1" w:styleId="Heading2TOC">
    <w:name w:val="Heading2 TOC"/>
    <w:basedOn w:val="Normal"/>
    <w:qFormat/>
    <w:rsid w:val="000336ED"/>
    <w:pPr>
      <w:spacing w:before="240" w:after="60"/>
    </w:pPr>
    <w:rPr>
      <w:rFonts w:ascii="Times New Roman" w:hAnsi="Times New Roman"/>
      <w:b/>
      <w:sz w:val="28"/>
    </w:rPr>
  </w:style>
  <w:style w:type="character" w:customStyle="1" w:styleId="Underline">
    <w:name w:val="Underline"/>
    <w:basedOn w:val="DefaultParagraphFont"/>
    <w:qFormat/>
    <w:rsid w:val="000336ED"/>
    <w:rPr>
      <w:u w:val="single"/>
    </w:rPr>
  </w:style>
  <w:style w:type="character" w:customStyle="1" w:styleId="BoldandItalics">
    <w:name w:val="Bold and Italics"/>
    <w:qFormat/>
    <w:rsid w:val="000336ED"/>
    <w:rPr>
      <w:b/>
      <w:i/>
      <w:u w:val="none"/>
    </w:rPr>
  </w:style>
  <w:style w:type="paragraph" w:styleId="BalloonText">
    <w:name w:val="Balloon Text"/>
    <w:basedOn w:val="Normal"/>
    <w:link w:val="BalloonTextChar"/>
    <w:rsid w:val="000336ED"/>
    <w:rPr>
      <w:rFonts w:ascii="Tahoma" w:hAnsi="Tahoma" w:cs="Tahoma"/>
      <w:sz w:val="16"/>
      <w:szCs w:val="16"/>
    </w:rPr>
  </w:style>
  <w:style w:type="character" w:customStyle="1" w:styleId="BalloonTextChar">
    <w:name w:val="Balloon Text Char"/>
    <w:basedOn w:val="DefaultParagraphFont"/>
    <w:link w:val="BalloonText"/>
    <w:rsid w:val="000336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36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36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36ED"/>
    <w:rPr>
      <w:b/>
      <w:color w:val="660033"/>
      <w:spacing w:val="0"/>
    </w:rPr>
  </w:style>
  <w:style w:type="paragraph" w:customStyle="1" w:styleId="Nameditemlist">
    <w:name w:val="Named item list"/>
    <w:basedOn w:val="BodyText"/>
    <w:qFormat/>
    <w:rsid w:val="000336ED"/>
    <w:pPr>
      <w:tabs>
        <w:tab w:val="left" w:pos="2835"/>
      </w:tabs>
      <w:ind w:left="2835" w:hanging="2835"/>
    </w:pPr>
  </w:style>
  <w:style w:type="paragraph" w:customStyle="1" w:styleId="BodyTextnopadding">
    <w:name w:val="Body Text no padding"/>
    <w:basedOn w:val="BodyText"/>
    <w:qFormat/>
    <w:rsid w:val="000336ED"/>
    <w:pPr>
      <w:spacing w:before="0" w:after="0"/>
    </w:pPr>
  </w:style>
  <w:style w:type="paragraph" w:customStyle="1" w:styleId="BodyTextBold">
    <w:name w:val="Body Text Bold"/>
    <w:basedOn w:val="BodyText"/>
    <w:qFormat/>
    <w:rsid w:val="000336ED"/>
    <w:rPr>
      <w:b/>
    </w:rPr>
  </w:style>
  <w:style w:type="character" w:styleId="Hyperlink">
    <w:name w:val="Hyperlink"/>
    <w:basedOn w:val="DefaultParagraphFont"/>
    <w:uiPriority w:val="99"/>
    <w:unhideWhenUsed/>
    <w:rsid w:val="00BF10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797</Words>
  <Characters>5290</Characters>
  <Application>Microsoft Office Word</Application>
  <DocSecurity>0</DocSecurity>
  <Lines>135</Lines>
  <Paragraphs>101</Paragraphs>
  <ScaleCrop>false</ScaleCrop>
  <Company>Author-it Software Corporation Ltd.</Company>
  <LinksUpToDate>false</LinksUpToDate>
  <CharactersWithSpaces>5986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AURETH008 Diagnose and repair HVAC and rechargeable energy storage cooling systems in battery electric vehicle</dc:title>
  <dc:subject>Approved</dc:subject>
  <dc:creator>PwC’s Skills for Australia</dc:creator>
  <cp:keywords>Release: 1</cp:keywords>
  <dc:description>Review Date: 12 April 2008</dc:description>
  <cp:lastModifiedBy>HSD_TPCMSd.prod</cp:lastModifiedBy>
  <cp:revision>3</cp:revision>
  <dcterms:created xsi:type="dcterms:W3CDTF">2022-06-23T06:32:00Z</dcterms:created>
  <dcterms:modified xsi:type="dcterms:W3CDTF">2022-06-23T06:32:00Z</dcterms:modified>
</cp:coreProperties>
</file>