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B24" w:rsidP="002F3B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AURETH002 Service and maintain battery electric vehicles</w:t>
      </w:r>
      <w:r>
        <w:fldChar w:fldCharType="end"/>
      </w:r>
    </w:p>
    <w:p w:rsidR="002F3B24" w:rsidP="002F3B24">
      <w:pPr>
        <w:pStyle w:val="Version"/>
        <w:sectPr w:rsidSect="00794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944" w:rsidP="00794944">
      <w:pPr>
        <w:pStyle w:val="SuperHeading"/>
      </w:pPr>
      <w:r w:rsidRPr="00794944">
        <w:t>Assessment Requirements for AURETH002 Service and maintain battery electric vehicles</w:t>
      </w:r>
    </w:p>
    <w:p w:rsidR="00000000" w:rsidRPr="00794944" w:rsidP="00794944">
      <w:pPr>
        <w:pStyle w:val="Heading1"/>
      </w:pPr>
      <w:bookmarkStart w:id="1" w:name="O_794244"/>
      <w:bookmarkEnd w:id="1"/>
      <w:r w:rsidRPr="0079494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F3B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944" w:rsidP="00794944">
            <w:pPr>
              <w:pStyle w:val="BodyText"/>
            </w:pPr>
            <w:r w:rsidRPr="0079494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944">
            <w:pPr>
              <w:pStyle w:val="BodyText"/>
              <w:rPr>
                <w:lang w:val="en-NZ"/>
              </w:rPr>
            </w:pPr>
            <w:r w:rsidRPr="00794944">
              <w:rPr>
                <w:rStyle w:val="SpecialBold"/>
              </w:rPr>
              <w:t>Comment</w:t>
            </w:r>
          </w:p>
        </w:tc>
      </w:tr>
      <w:tr w:rsidTr="002F3B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944">
            <w:pPr>
              <w:pStyle w:val="BodyText"/>
              <w:rPr>
                <w:lang w:val="en-NZ"/>
              </w:rPr>
            </w:pPr>
            <w:r w:rsidRPr="0079494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944" w:rsidP="00794944">
            <w:pPr>
              <w:pStyle w:val="BodyText"/>
            </w:pPr>
            <w:r w:rsidRPr="00794944">
              <w:t>New unit of competency.</w:t>
            </w:r>
          </w:p>
        </w:tc>
      </w:tr>
    </w:tbl>
    <w:p w:rsidR="00000000" w:rsidRPr="00794944" w:rsidP="00794944">
      <w:pPr>
        <w:pStyle w:val="BodyText"/>
      </w:pPr>
    </w:p>
    <w:p w:rsidR="00000000" w:rsidRPr="00794944" w:rsidP="00794944">
      <w:pPr>
        <w:pStyle w:val="AllowPageBreak"/>
      </w:pPr>
    </w:p>
    <w:p w:rsidR="00000000" w:rsidRPr="00794944" w:rsidP="00794944">
      <w:pPr>
        <w:pStyle w:val="Heading1"/>
      </w:pPr>
      <w:bookmarkStart w:id="2" w:name="O_794245"/>
      <w:bookmarkEnd w:id="2"/>
      <w:r w:rsidRPr="00794944">
        <w:t>Performance Evidence</w:t>
      </w:r>
    </w:p>
    <w:p w:rsidR="00000000" w:rsidRPr="00794944" w:rsidP="002F3B24">
      <w:pPr>
        <w:pStyle w:val="BodyText"/>
      </w:pPr>
      <w:r w:rsidRPr="00794944">
        <w:t>Before competency ca</w:t>
      </w:r>
      <w:r w:rsidRPr="00794944">
        <w:t>n be determined, individuals must demonstrate they can perform the following according to the standard defined in the unit’s elements, performance criteria, range of conditions and foundation skills:</w:t>
      </w:r>
    </w:p>
    <w:p w:rsidR="00000000" w:rsidRPr="00794944" w:rsidP="00794944">
      <w:pPr>
        <w:pStyle w:val="ListBullet"/>
      </w:pPr>
      <w:r w:rsidRPr="00794944">
        <w:t>safely test, service and maintain two different battery</w:t>
      </w:r>
      <w:r w:rsidRPr="00794944">
        <w:t xml:space="preserve"> electric vehicles (BEVs).</w:t>
      </w:r>
    </w:p>
    <w:p w:rsidR="00000000" w:rsidRPr="00794944" w:rsidP="00794944">
      <w:pPr>
        <w:pStyle w:val="AllowPageBreak"/>
      </w:pPr>
    </w:p>
    <w:p w:rsidR="00000000" w:rsidRPr="00794944" w:rsidP="00794944">
      <w:pPr>
        <w:pStyle w:val="Heading1"/>
      </w:pPr>
      <w:bookmarkStart w:id="3" w:name="O_794246"/>
      <w:bookmarkEnd w:id="3"/>
      <w:r w:rsidRPr="00794944">
        <w:t>Knowledge Evidence</w:t>
      </w:r>
    </w:p>
    <w:p w:rsidR="00000000" w:rsidRPr="00794944" w:rsidP="002F3B24">
      <w:pPr>
        <w:pStyle w:val="BodyText"/>
      </w:pPr>
      <w:r w:rsidRPr="00794944">
        <w:t>Individuals must be able to demonstrate knowledge of:</w:t>
      </w:r>
    </w:p>
    <w:p w:rsidR="00000000" w:rsidRPr="00794944" w:rsidP="00794944">
      <w:pPr>
        <w:pStyle w:val="ListBullet"/>
      </w:pPr>
      <w:r w:rsidRPr="00794944">
        <w:t xml:space="preserve">work health and safety (WHS) and occupational health and safety (OHS) requirements relating </w:t>
      </w:r>
      <w:r w:rsidRPr="00794944">
        <w:t>to servicing and maintaining BEVs, including procedures for:</w:t>
      </w:r>
    </w:p>
    <w:p w:rsidR="00000000" w:rsidRPr="00794944" w:rsidP="00794944">
      <w:pPr>
        <w:pStyle w:val="ListBullet2"/>
      </w:pPr>
      <w:r w:rsidRPr="00794944">
        <w:t>identifying hazards and controlling risks associated with:</w:t>
      </w:r>
    </w:p>
    <w:p w:rsidR="00000000" w:rsidRPr="00794944" w:rsidP="00794944">
      <w:pPr>
        <w:pStyle w:val="ListBullet3"/>
      </w:pPr>
      <w:r w:rsidRPr="00794944">
        <w:t>working with high voltages on BEV electrical systems</w:t>
      </w:r>
    </w:p>
    <w:p w:rsidR="00000000" w:rsidRPr="00794944" w:rsidP="00794944">
      <w:pPr>
        <w:pStyle w:val="ListBullet3"/>
      </w:pPr>
      <w:r w:rsidRPr="00794944">
        <w:t>wearing jewellery while working around high electrical currents</w:t>
      </w:r>
    </w:p>
    <w:p w:rsidR="00000000" w:rsidRPr="00794944" w:rsidP="00794944">
      <w:pPr>
        <w:pStyle w:val="ListBullet2"/>
      </w:pPr>
      <w:r w:rsidRPr="00794944">
        <w:t>determining appropriate procedures for minimising risk associated with hazards, including applying electrical safety precautions when:</w:t>
      </w:r>
    </w:p>
    <w:p w:rsidR="00000000" w:rsidRPr="00794944" w:rsidP="00794944">
      <w:pPr>
        <w:pStyle w:val="ListBullet3"/>
      </w:pPr>
      <w:r w:rsidRPr="00794944">
        <w:t>using personal protective equipment (PPE), including electrical safety gloves with 1000 volt rating and Australian stand</w:t>
      </w:r>
      <w:r w:rsidRPr="00794944">
        <w:t>ards rated high voltage (HV) insulating mat</w:t>
      </w:r>
    </w:p>
    <w:p w:rsidR="00000000" w:rsidRPr="00794944" w:rsidP="00794944">
      <w:pPr>
        <w:pStyle w:val="ListBullet3"/>
      </w:pPr>
      <w:r w:rsidRPr="00794944">
        <w:t>identifying and using firefighting equipment as appropriate</w:t>
      </w:r>
    </w:p>
    <w:p w:rsidR="00000000" w:rsidRPr="00794944" w:rsidP="00794944">
      <w:pPr>
        <w:pStyle w:val="ListBullet3"/>
      </w:pPr>
      <w:r w:rsidRPr="00794944">
        <w:t>using the ‘one hand’ rule</w:t>
      </w:r>
    </w:p>
    <w:p w:rsidR="00000000" w:rsidRPr="00794944" w:rsidP="00794944">
      <w:pPr>
        <w:pStyle w:val="ListBullet3"/>
      </w:pPr>
      <w:r w:rsidRPr="00794944">
        <w:t>following live system warning tags and signs</w:t>
      </w:r>
    </w:p>
    <w:p w:rsidR="00000000" w:rsidRPr="00794944" w:rsidP="00794944">
      <w:pPr>
        <w:pStyle w:val="ListBullet3"/>
      </w:pPr>
      <w:r w:rsidRPr="00794944">
        <w:t>depowering vehicle</w:t>
      </w:r>
    </w:p>
    <w:p w:rsidR="00000000" w:rsidRPr="00794944" w:rsidP="00794944">
      <w:pPr>
        <w:pStyle w:val="ListBullet3"/>
      </w:pPr>
      <w:r w:rsidRPr="00794944">
        <w:t>isolating HV rechargeable energy storage system (RESS) electri</w:t>
      </w:r>
      <w:r w:rsidRPr="00794944">
        <w:t>cal supply</w:t>
      </w:r>
    </w:p>
    <w:p w:rsidR="00000000" w:rsidRPr="00794944" w:rsidP="00794944">
      <w:pPr>
        <w:pStyle w:val="ListBullet3"/>
      </w:pPr>
      <w:r w:rsidRPr="00794944">
        <w:t>stabilising vehicle electrical system</w:t>
      </w:r>
    </w:p>
    <w:p w:rsidR="00000000" w:rsidRPr="00794944" w:rsidP="00794944">
      <w:pPr>
        <w:pStyle w:val="ListBullet"/>
      </w:pPr>
      <w:r w:rsidRPr="00794944">
        <w:t xml:space="preserve">requirements of AS 5732 Electric vehicle operations - Maintenance and repair </w:t>
      </w:r>
    </w:p>
    <w:p w:rsidR="00000000" w:rsidRPr="00794944" w:rsidP="00794944">
      <w:pPr>
        <w:pStyle w:val="ListBullet"/>
      </w:pPr>
      <w:r w:rsidRPr="00794944">
        <w:t>key components of BEVs and their functions</w:t>
      </w:r>
    </w:p>
    <w:p w:rsidR="00000000" w:rsidRPr="00794944" w:rsidP="00794944">
      <w:pPr>
        <w:pStyle w:val="ListBullet"/>
      </w:pPr>
      <w:r w:rsidRPr="00794944">
        <w:t>RESS battery construction, including:</w:t>
      </w:r>
    </w:p>
    <w:p w:rsidR="00000000" w:rsidRPr="00794944" w:rsidP="00794944">
      <w:pPr>
        <w:pStyle w:val="ListBullet2"/>
      </w:pPr>
      <w:r w:rsidRPr="00794944">
        <w:t>battery internal resistance</w:t>
      </w:r>
    </w:p>
    <w:p w:rsidR="00000000" w:rsidRPr="00794944" w:rsidP="00794944">
      <w:pPr>
        <w:pStyle w:val="ListBullet2"/>
      </w:pPr>
      <w:r w:rsidRPr="00794944">
        <w:t>battery types</w:t>
      </w:r>
    </w:p>
    <w:p w:rsidR="00000000" w:rsidRPr="00794944" w:rsidP="00794944">
      <w:pPr>
        <w:pStyle w:val="ListBullet2"/>
      </w:pPr>
      <w:r w:rsidRPr="00794944">
        <w:t>terminal corrosion</w:t>
      </w:r>
    </w:p>
    <w:p w:rsidR="00000000" w:rsidRPr="00794944" w:rsidP="00794944">
      <w:pPr>
        <w:pStyle w:val="ListBullet2"/>
      </w:pPr>
      <w:r w:rsidRPr="00794944">
        <w:t>terminal resistance</w:t>
      </w:r>
    </w:p>
    <w:p w:rsidR="00000000" w:rsidRPr="00794944" w:rsidP="00794944">
      <w:pPr>
        <w:pStyle w:val="ListBullet"/>
      </w:pPr>
      <w:r w:rsidRPr="00794944">
        <w:t>key components of RESS theory, including:</w:t>
      </w:r>
    </w:p>
    <w:p w:rsidR="00000000" w:rsidRPr="00794944" w:rsidP="00794944">
      <w:pPr>
        <w:pStyle w:val="ListBullet2"/>
      </w:pPr>
      <w:r w:rsidRPr="00794944">
        <w:t>cell failure theory</w:t>
      </w:r>
    </w:p>
    <w:p w:rsidR="00000000" w:rsidRPr="00794944" w:rsidP="00794944">
      <w:pPr>
        <w:pStyle w:val="ListBullet2"/>
      </w:pPr>
      <w:r w:rsidRPr="00794944">
        <w:t>charging characteristics</w:t>
      </w:r>
    </w:p>
    <w:p w:rsidR="00000000" w:rsidRPr="00794944" w:rsidP="00794944">
      <w:pPr>
        <w:pStyle w:val="ListBullet2"/>
      </w:pPr>
      <w:r w:rsidRPr="00794944">
        <w:t>open circuit cells</w:t>
      </w:r>
    </w:p>
    <w:p w:rsidR="00000000" w:rsidRPr="00794944" w:rsidP="00794944">
      <w:pPr>
        <w:pStyle w:val="ListBullet2"/>
      </w:pPr>
      <w:r w:rsidRPr="00794944">
        <w:t>reverse polarisation</w:t>
      </w:r>
    </w:p>
    <w:p w:rsidR="00000000" w:rsidRPr="00794944" w:rsidP="00794944">
      <w:pPr>
        <w:pStyle w:val="ListBullet2"/>
      </w:pPr>
      <w:r w:rsidRPr="00794944">
        <w:t>series cell configuration</w:t>
      </w:r>
    </w:p>
    <w:p w:rsidR="00000000" w:rsidRPr="00794944" w:rsidP="00794944">
      <w:pPr>
        <w:pStyle w:val="ListBullet2"/>
      </w:pPr>
      <w:r w:rsidRPr="00794944">
        <w:t>strapping and layout</w:t>
      </w:r>
    </w:p>
    <w:p w:rsidR="00000000" w:rsidRPr="00794944" w:rsidP="00794944">
      <w:pPr>
        <w:pStyle w:val="ListBullet"/>
      </w:pPr>
      <w:r w:rsidRPr="00794944">
        <w:t>battery charger characteristics and oper</w:t>
      </w:r>
      <w:r w:rsidRPr="00794944">
        <w:t xml:space="preserve">ation, including battery cooling system and refrigerant flow through RESS </w:t>
      </w:r>
    </w:p>
    <w:p w:rsidR="00000000" w:rsidRPr="00794944" w:rsidP="00794944">
      <w:pPr>
        <w:pStyle w:val="ListBullet"/>
      </w:pPr>
      <w:r w:rsidRPr="00794944">
        <w:t>battery management system (BMS) theory</w:t>
      </w:r>
    </w:p>
    <w:p w:rsidR="00000000" w:rsidRPr="00794944" w:rsidP="00794944">
      <w:pPr>
        <w:pStyle w:val="ListBullet"/>
      </w:pPr>
      <w:r w:rsidRPr="00794944">
        <w:t>power distribution unit (PDU) operation.</w:t>
      </w:r>
    </w:p>
    <w:p w:rsidR="00000000" w:rsidRPr="00794944" w:rsidP="00794944">
      <w:pPr>
        <w:pStyle w:val="AllowPageBreak"/>
      </w:pPr>
    </w:p>
    <w:p w:rsidR="00000000" w:rsidRPr="00794944" w:rsidP="00794944">
      <w:pPr>
        <w:pStyle w:val="Heading1"/>
      </w:pPr>
      <w:bookmarkStart w:id="4" w:name="O_794247"/>
      <w:bookmarkEnd w:id="4"/>
      <w:r w:rsidRPr="00794944">
        <w:t>Assessment Conditions</w:t>
      </w:r>
    </w:p>
    <w:p w:rsidR="00000000" w:rsidRPr="00794944" w:rsidP="002F3B24">
      <w:pPr>
        <w:pStyle w:val="BodyText"/>
      </w:pPr>
      <w:r w:rsidRPr="00794944">
        <w:t>Assessors must satisfy NVR/AQTF assessor requirements.</w:t>
      </w:r>
    </w:p>
    <w:p w:rsidR="00000000" w:rsidRPr="00794944" w:rsidP="002F3B24">
      <w:pPr>
        <w:pStyle w:val="BodyText"/>
      </w:pPr>
      <w:r w:rsidRPr="00794944">
        <w:t>Competency is to be assessed in the workplace or a simulated environment that accurately reflects performance in a real workplace setting.</w:t>
      </w:r>
    </w:p>
    <w:p w:rsidR="00000000" w:rsidRPr="00794944" w:rsidP="002F3B24">
      <w:pPr>
        <w:pStyle w:val="BodyText"/>
      </w:pPr>
      <w:r w:rsidRPr="00794944">
        <w:t>Assessment must include direct observation of tasks.</w:t>
      </w:r>
    </w:p>
    <w:p w:rsidR="00000000" w:rsidRPr="00794944" w:rsidP="002F3B24">
      <w:pPr>
        <w:pStyle w:val="BodyText"/>
      </w:pPr>
      <w:r w:rsidRPr="00794944">
        <w:t xml:space="preserve">Where assessment of competency includes third-party evidence, </w:t>
      </w:r>
      <w:r w:rsidRPr="00794944">
        <w:t>individuals must provide evidence that links them to the BEVs they have serviced and maintained, e.g. repair orders.</w:t>
      </w:r>
    </w:p>
    <w:p w:rsidR="00000000" w:rsidRPr="00794944" w:rsidP="002F3B24">
      <w:pPr>
        <w:pStyle w:val="BodyText"/>
      </w:pPr>
      <w:r w:rsidRPr="00794944">
        <w:t>Assessors must verify performance evidence through questioning on skills and knowledge to ensure correct interpretation and application.</w:t>
      </w:r>
    </w:p>
    <w:p w:rsidR="00000000" w:rsidRPr="00794944" w:rsidP="002F3B24">
      <w:pPr>
        <w:pStyle w:val="BodyText"/>
      </w:pPr>
      <w:r w:rsidRPr="00794944">
        <w:t>The following resources must be made available:</w:t>
      </w:r>
    </w:p>
    <w:p w:rsidR="00000000" w:rsidRPr="00794944" w:rsidP="00794944">
      <w:pPr>
        <w:pStyle w:val="ListBullet"/>
      </w:pPr>
      <w:r w:rsidRPr="00794944">
        <w:t>automotive repair workplace or simulated workplace</w:t>
      </w:r>
    </w:p>
    <w:p w:rsidR="00000000" w:rsidRPr="00794944" w:rsidP="00794944">
      <w:pPr>
        <w:pStyle w:val="ListBullet"/>
      </w:pPr>
      <w:r w:rsidRPr="00794944">
        <w:t>PPE, including electrical safety gloves with 1000 volt rating and Australian standards rated HV insulating mat</w:t>
      </w:r>
    </w:p>
    <w:p w:rsidR="00000000" w:rsidRPr="00794944" w:rsidP="00794944">
      <w:pPr>
        <w:pStyle w:val="ListBullet"/>
      </w:pPr>
      <w:r w:rsidRPr="00794944">
        <w:t>manufacturer specifications and service proce</w:t>
      </w:r>
      <w:r w:rsidRPr="00794944">
        <w:t>dures for the BEVs being worked on</w:t>
      </w:r>
    </w:p>
    <w:p w:rsidR="00000000" w:rsidRPr="00794944" w:rsidP="00794944">
      <w:pPr>
        <w:pStyle w:val="ListBullet"/>
      </w:pPr>
      <w:r w:rsidRPr="00794944">
        <w:t xml:space="preserve">AS 5732 Electric vehicle operations - Maintenance and repair </w:t>
      </w:r>
    </w:p>
    <w:p w:rsidR="00000000" w:rsidRPr="00794944" w:rsidP="00794944">
      <w:pPr>
        <w:pStyle w:val="ListBullet"/>
      </w:pPr>
      <w:r w:rsidRPr="00794944">
        <w:t>two different operational BEVs requiring service and maintenance</w:t>
      </w:r>
    </w:p>
    <w:p w:rsidR="00000000" w:rsidRPr="00794944" w:rsidP="00794944">
      <w:pPr>
        <w:pStyle w:val="ListBullet"/>
      </w:pPr>
      <w:r w:rsidRPr="00794944">
        <w:t>electrical test equipment appropriate to BEVs being serviced, including:</w:t>
      </w:r>
    </w:p>
    <w:p w:rsidR="00000000" w:rsidRPr="00794944" w:rsidP="00794944">
      <w:pPr>
        <w:pStyle w:val="ListBullet2"/>
      </w:pPr>
      <w:r w:rsidRPr="00794944">
        <w:t>digital multimeter w</w:t>
      </w:r>
      <w:r w:rsidRPr="00794944">
        <w:t>ith Cat III 1000 volt rating</w:t>
      </w:r>
    </w:p>
    <w:p w:rsidR="00000000" w:rsidRPr="00794944" w:rsidP="00794944">
      <w:pPr>
        <w:pStyle w:val="ListBullet2"/>
      </w:pPr>
      <w:r w:rsidRPr="00794944">
        <w:t>insulation tester</w:t>
      </w:r>
    </w:p>
    <w:p w:rsidR="00000000" w:rsidRPr="00794944" w:rsidP="00794944">
      <w:pPr>
        <w:pStyle w:val="ListBullet2"/>
      </w:pPr>
      <w:r w:rsidRPr="00794944">
        <w:t>residual voltage tester, if specified in original equipment manufacturer (OEM) test requirements</w:t>
      </w:r>
    </w:p>
    <w:p w:rsidR="00000000" w:rsidRPr="00794944" w:rsidP="00794944">
      <w:pPr>
        <w:pStyle w:val="ListBullet2"/>
      </w:pPr>
      <w:r w:rsidRPr="00794944">
        <w:t>scan tool</w:t>
      </w:r>
    </w:p>
    <w:p w:rsidR="00000000" w:rsidRPr="00794944" w:rsidP="00794944">
      <w:pPr>
        <w:pStyle w:val="ListBullet"/>
      </w:pPr>
      <w:r w:rsidRPr="00794944">
        <w:t>tools, equipment and materials appropriate for testing, servicing and maintaining BEVs.</w:t>
      </w:r>
    </w:p>
    <w:p w:rsidR="00000000" w:rsidRPr="00794944" w:rsidP="00794944">
      <w:pPr>
        <w:pStyle w:val="AllowPageBreak"/>
      </w:pPr>
    </w:p>
    <w:p w:rsidR="00000000" w:rsidRPr="00794944" w:rsidP="00794944">
      <w:pPr>
        <w:pStyle w:val="Heading1"/>
      </w:pPr>
      <w:bookmarkStart w:id="5" w:name="O_794250"/>
      <w:bookmarkEnd w:id="5"/>
      <w:r w:rsidRPr="00794944">
        <w:t>Links</w:t>
      </w:r>
    </w:p>
    <w:p w:rsidR="00000000" w:rsidRPr="00794944" w:rsidP="002F3B24">
      <w:pPr>
        <w:pStyle w:val="BodyText"/>
      </w:pPr>
      <w:r w:rsidRPr="007949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E582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94944" w:rsidP="002F3B24">
      <w:pPr>
        <w:pStyle w:val="BodyText"/>
      </w:pPr>
      <w:r w:rsidRPr="007949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E582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94944" w:rsidP="00794944"/>
    <w:sectPr w:rsidSect="007949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944" w:rsidRPr="002F3B24" w:rsidP="002F3B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B24" w:rsidP="00794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B24" w:rsidP="00794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F3B24" w:rsidP="00794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B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944" w:rsidRPr="002F3B24" w:rsidP="002F3B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B24" w:rsidRPr="002D2AF8" w:rsidP="00794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AURETH002 Service and maintain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F3B24" w:rsidP="00794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AEF7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92B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F24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944"/>
  </w:style>
  <w:style w:type="character" w:customStyle="1" w:styleId="Heading1Char">
    <w:name w:val="Heading 1 Char"/>
    <w:basedOn w:val="DefaultParagraphFont"/>
    <w:link w:val="Heading1"/>
    <w:rsid w:val="00794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9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9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94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944"/>
    <w:rPr>
      <w:b/>
      <w:spacing w:val="0"/>
    </w:rPr>
  </w:style>
  <w:style w:type="paragraph" w:styleId="ListBullet2">
    <w:name w:val="List Bullet 2"/>
    <w:basedOn w:val="List2"/>
    <w:rsid w:val="007949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4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49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4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9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9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9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9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944"/>
    <w:rPr>
      <w:i/>
    </w:rPr>
  </w:style>
  <w:style w:type="paragraph" w:styleId="Caption">
    <w:name w:val="caption"/>
    <w:basedOn w:val="BodyText"/>
    <w:next w:val="Normal"/>
    <w:qFormat/>
    <w:rsid w:val="00794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944"/>
  </w:style>
  <w:style w:type="paragraph" w:styleId="TableofFigures">
    <w:name w:val="table of figures"/>
    <w:basedOn w:val="Normal"/>
    <w:next w:val="Normal"/>
    <w:semiHidden/>
    <w:rsid w:val="00794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9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4944"/>
    <w:rPr>
      <w:rFonts w:ascii="Wingdings" w:hAnsi="Wingdings"/>
    </w:rPr>
  </w:style>
  <w:style w:type="paragraph" w:customStyle="1" w:styleId="TableHeading">
    <w:name w:val="Table Heading"/>
    <w:basedOn w:val="HeadingBase"/>
    <w:rsid w:val="007949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944"/>
    <w:rPr>
      <w:color w:val="0033CC"/>
      <w:u w:val="none"/>
    </w:rPr>
  </w:style>
  <w:style w:type="paragraph" w:customStyle="1" w:styleId="BodyTextRight">
    <w:name w:val="Body Text Right"/>
    <w:basedOn w:val="BodyText"/>
    <w:rsid w:val="00794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9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944"/>
    <w:rPr>
      <w:sz w:val="32"/>
    </w:rPr>
  </w:style>
  <w:style w:type="paragraph" w:customStyle="1" w:styleId="HeadingProcedure">
    <w:name w:val="Heading Procedure"/>
    <w:basedOn w:val="HeadingBase"/>
    <w:next w:val="Normal"/>
    <w:rsid w:val="00794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944"/>
    <w:pPr>
      <w:spacing w:before="60" w:after="60"/>
    </w:pPr>
  </w:style>
  <w:style w:type="paragraph" w:styleId="ListContinue">
    <w:name w:val="List Continue"/>
    <w:basedOn w:val="List"/>
    <w:rsid w:val="00794944"/>
    <w:pPr>
      <w:ind w:firstLine="0"/>
    </w:pPr>
  </w:style>
  <w:style w:type="paragraph" w:customStyle="1" w:styleId="ListNote">
    <w:name w:val="List Note"/>
    <w:basedOn w:val="List"/>
    <w:rsid w:val="00794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944"/>
    <w:rPr>
      <w:rFonts w:ascii="Courier New" w:hAnsi="Courier New"/>
    </w:rPr>
  </w:style>
  <w:style w:type="paragraph" w:customStyle="1" w:styleId="NoteBullet">
    <w:name w:val="Note Bullet"/>
    <w:basedOn w:val="Note"/>
    <w:rsid w:val="00794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9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4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944"/>
    <w:rPr>
      <w:b/>
      <w:smallCaps/>
    </w:rPr>
  </w:style>
  <w:style w:type="paragraph" w:customStyle="1" w:styleId="TableListNumber">
    <w:name w:val="Table List Number"/>
    <w:basedOn w:val="ListNumber"/>
    <w:rsid w:val="00794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944"/>
    <w:pPr>
      <w:numPr>
        <w:numId w:val="10"/>
      </w:numPr>
    </w:pPr>
  </w:style>
  <w:style w:type="paragraph" w:customStyle="1" w:styleId="ListAlpha2">
    <w:name w:val="List Alpha 2"/>
    <w:basedOn w:val="List2"/>
    <w:rsid w:val="00794944"/>
    <w:pPr>
      <w:numPr>
        <w:numId w:val="9"/>
      </w:numPr>
    </w:pPr>
  </w:style>
  <w:style w:type="paragraph" w:styleId="List2">
    <w:name w:val="List 2"/>
    <w:basedOn w:val="BodyText"/>
    <w:rsid w:val="007949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9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49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4944"/>
    <w:pPr>
      <w:numPr>
        <w:numId w:val="5"/>
      </w:numPr>
    </w:pPr>
  </w:style>
  <w:style w:type="paragraph" w:styleId="ListContinue2">
    <w:name w:val="List Continue 2"/>
    <w:basedOn w:val="List2"/>
    <w:rsid w:val="00794944"/>
    <w:pPr>
      <w:ind w:firstLine="0"/>
    </w:pPr>
  </w:style>
  <w:style w:type="paragraph" w:styleId="ListContinue3">
    <w:name w:val="List Continue 3"/>
    <w:basedOn w:val="List3"/>
    <w:rsid w:val="00794944"/>
    <w:pPr>
      <w:ind w:left="1021" w:firstLine="0"/>
    </w:pPr>
  </w:style>
  <w:style w:type="paragraph" w:styleId="ListContinue4">
    <w:name w:val="List Continue 4"/>
    <w:basedOn w:val="List4"/>
    <w:rsid w:val="00794944"/>
    <w:pPr>
      <w:ind w:firstLine="0"/>
    </w:pPr>
  </w:style>
  <w:style w:type="paragraph" w:styleId="ListContinue5">
    <w:name w:val="List Continue 5"/>
    <w:basedOn w:val="List5"/>
    <w:rsid w:val="00794944"/>
    <w:pPr>
      <w:ind w:firstLine="0"/>
    </w:pPr>
  </w:style>
  <w:style w:type="paragraph" w:styleId="ListNumber3">
    <w:name w:val="List Number 3"/>
    <w:basedOn w:val="List3"/>
    <w:rsid w:val="00794944"/>
    <w:pPr>
      <w:numPr>
        <w:numId w:val="6"/>
      </w:numPr>
    </w:pPr>
  </w:style>
  <w:style w:type="paragraph" w:styleId="ListNumber4">
    <w:name w:val="List Number 4"/>
    <w:basedOn w:val="List4"/>
    <w:rsid w:val="00794944"/>
    <w:pPr>
      <w:numPr>
        <w:numId w:val="7"/>
      </w:numPr>
    </w:pPr>
  </w:style>
  <w:style w:type="paragraph" w:styleId="ListNumber5">
    <w:name w:val="List Number 5"/>
    <w:basedOn w:val="List5"/>
    <w:rsid w:val="00794944"/>
    <w:pPr>
      <w:numPr>
        <w:numId w:val="8"/>
      </w:numPr>
    </w:pPr>
  </w:style>
  <w:style w:type="paragraph" w:styleId="BlockText">
    <w:name w:val="Block Text"/>
    <w:basedOn w:val="Normal"/>
    <w:rsid w:val="00794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944"/>
    <w:rPr>
      <w:sz w:val="16"/>
      <w:vertAlign w:val="superscript"/>
    </w:rPr>
  </w:style>
  <w:style w:type="character" w:customStyle="1" w:styleId="Symbols">
    <w:name w:val="Symbols"/>
    <w:basedOn w:val="DefaultParagraphFont"/>
    <w:rsid w:val="00794944"/>
    <w:rPr>
      <w:rFonts w:ascii="Symbol" w:hAnsi="Symbol"/>
    </w:rPr>
  </w:style>
  <w:style w:type="character" w:customStyle="1" w:styleId="MenuOptions">
    <w:name w:val="Menu Options"/>
    <w:basedOn w:val="DefaultParagraphFont"/>
    <w:rsid w:val="00794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944"/>
    <w:rPr>
      <w:b/>
    </w:rPr>
  </w:style>
  <w:style w:type="character" w:customStyle="1" w:styleId="Underlined">
    <w:name w:val="Underlined"/>
    <w:basedOn w:val="DefaultParagraphFont"/>
    <w:rsid w:val="00794944"/>
    <w:rPr>
      <w:u w:val="single"/>
    </w:rPr>
  </w:style>
  <w:style w:type="paragraph" w:customStyle="1" w:styleId="TableBodyTextRight">
    <w:name w:val="Table Body Text Right"/>
    <w:basedOn w:val="TableBodyText"/>
    <w:rsid w:val="00794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944"/>
    <w:rPr>
      <w:sz w:val="18"/>
    </w:rPr>
  </w:style>
  <w:style w:type="paragraph" w:customStyle="1" w:styleId="BodySmallRight">
    <w:name w:val="Body Small Right"/>
    <w:basedOn w:val="BodyTextRight"/>
    <w:rsid w:val="00794944"/>
    <w:rPr>
      <w:sz w:val="18"/>
      <w:szCs w:val="18"/>
    </w:rPr>
  </w:style>
  <w:style w:type="paragraph" w:customStyle="1" w:styleId="MarginEdition">
    <w:name w:val="Margin Edition"/>
    <w:basedOn w:val="MarginNote"/>
    <w:rsid w:val="00794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944"/>
    <w:rPr>
      <w:sz w:val="2"/>
      <w:szCs w:val="2"/>
    </w:rPr>
  </w:style>
  <w:style w:type="character" w:customStyle="1" w:styleId="Small">
    <w:name w:val="Small"/>
    <w:basedOn w:val="DefaultParagraphFont"/>
    <w:rsid w:val="00794944"/>
    <w:rPr>
      <w:sz w:val="16"/>
    </w:rPr>
  </w:style>
  <w:style w:type="paragraph" w:customStyle="1" w:styleId="WideTable">
    <w:name w:val="Wide Table"/>
    <w:basedOn w:val="Normal"/>
    <w:rsid w:val="00794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944"/>
  </w:style>
  <w:style w:type="paragraph" w:styleId="Quote">
    <w:name w:val="Quote"/>
    <w:basedOn w:val="Heading1"/>
    <w:link w:val="QuoteChar"/>
    <w:qFormat/>
    <w:rsid w:val="00794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944"/>
    <w:pPr>
      <w:pageBreakBefore/>
    </w:pPr>
  </w:style>
  <w:style w:type="paragraph" w:customStyle="1" w:styleId="Border">
    <w:name w:val="Border"/>
    <w:basedOn w:val="Normal"/>
    <w:qFormat/>
    <w:rsid w:val="00794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944"/>
    <w:rPr>
      <w:u w:val="single"/>
    </w:rPr>
  </w:style>
  <w:style w:type="character" w:customStyle="1" w:styleId="BoldandItalics">
    <w:name w:val="Bold and Italics"/>
    <w:qFormat/>
    <w:rsid w:val="00794944"/>
    <w:rPr>
      <w:b/>
      <w:i/>
      <w:u w:val="none"/>
    </w:rPr>
  </w:style>
  <w:style w:type="paragraph" w:styleId="BalloonText">
    <w:name w:val="Balloon Text"/>
    <w:basedOn w:val="Normal"/>
    <w:link w:val="BalloonTextChar"/>
    <w:rsid w:val="00794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9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9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944"/>
    <w:pPr>
      <w:spacing w:before="0" w:after="0"/>
    </w:pPr>
  </w:style>
  <w:style w:type="paragraph" w:customStyle="1" w:styleId="BodyTextBold">
    <w:name w:val="Body Text Bold"/>
    <w:basedOn w:val="BodyText"/>
    <w:qFormat/>
    <w:rsid w:val="00794944"/>
    <w:rPr>
      <w:b/>
    </w:rPr>
  </w:style>
  <w:style w:type="character" w:styleId="Hyperlink">
    <w:name w:val="Hyperlink"/>
    <w:basedOn w:val="DefaultParagraphFont"/>
    <w:uiPriority w:val="99"/>
    <w:unhideWhenUsed/>
    <w:rsid w:val="002F3B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3553</Characters>
  <Application>Microsoft Office Word</Application>
  <DocSecurity>0</DocSecurity>
  <Lines>96</Lines>
  <Paragraphs>75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AURETH002 Service and maintain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