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BAC" w:rsidP="00544B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AURETB001 Diagnose and repair electric braking systems</w:t>
      </w:r>
      <w:r>
        <w:fldChar w:fldCharType="end"/>
      </w:r>
    </w:p>
    <w:p w:rsidR="00544BAC" w:rsidP="00544BAC">
      <w:pPr>
        <w:pStyle w:val="Version"/>
        <w:sectPr w:rsidSect="00A34E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EB7" w:rsidP="00A34EB7">
      <w:pPr>
        <w:pStyle w:val="SuperHeading"/>
      </w:pPr>
      <w:r w:rsidRPr="00A34EB7">
        <w:t>Assessment Requirements for AURETB001 Diagnose and repair electric braking systems</w:t>
      </w:r>
    </w:p>
    <w:p w:rsidR="00000000" w:rsidRPr="00A34EB7" w:rsidP="00A34EB7">
      <w:pPr>
        <w:pStyle w:val="Heading1"/>
      </w:pPr>
      <w:bookmarkStart w:id="1" w:name="O_771197"/>
      <w:bookmarkEnd w:id="1"/>
      <w:r w:rsidRPr="00A34EB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44B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B7" w:rsidP="00A34EB7">
            <w:pPr>
              <w:pStyle w:val="BodyText"/>
            </w:pPr>
            <w:r w:rsidRPr="00A34EB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B7">
            <w:pPr>
              <w:pStyle w:val="BodyText"/>
              <w:rPr>
                <w:lang w:val="en-NZ"/>
              </w:rPr>
            </w:pPr>
            <w:r w:rsidRPr="00A34EB7">
              <w:rPr>
                <w:rStyle w:val="SpecialBold"/>
              </w:rPr>
              <w:t>Comment</w:t>
            </w:r>
          </w:p>
        </w:tc>
      </w:tr>
      <w:tr w:rsidTr="00544B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B7">
            <w:pPr>
              <w:pStyle w:val="BodyText"/>
              <w:rPr>
                <w:lang w:val="en-NZ"/>
              </w:rPr>
            </w:pPr>
            <w:r w:rsidRPr="00A34EB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B7" w:rsidP="00A34EB7">
            <w:pPr>
              <w:pStyle w:val="BodyText"/>
            </w:pPr>
            <w:r w:rsidRPr="00A34EB7">
              <w:t>New unit of competency.</w:t>
            </w:r>
          </w:p>
        </w:tc>
      </w:tr>
    </w:tbl>
    <w:p w:rsidR="00000000" w:rsidRPr="00A34EB7" w:rsidP="00A34EB7">
      <w:pPr>
        <w:pStyle w:val="BodyText"/>
      </w:pPr>
    </w:p>
    <w:p w:rsidR="00000000" w:rsidRPr="00A34EB7" w:rsidP="00A34EB7">
      <w:pPr>
        <w:pStyle w:val="AllowPageBreak"/>
      </w:pPr>
    </w:p>
    <w:p w:rsidR="00000000" w:rsidRPr="00A34EB7" w:rsidP="00A34EB7">
      <w:pPr>
        <w:pStyle w:val="Heading1"/>
      </w:pPr>
      <w:bookmarkStart w:id="2" w:name="O_771198"/>
      <w:bookmarkEnd w:id="2"/>
      <w:r w:rsidRPr="00A34EB7">
        <w:t>Performance Evidence</w:t>
      </w:r>
    </w:p>
    <w:p w:rsidR="00000000" w:rsidRPr="00A34EB7" w:rsidP="00544BAC">
      <w:pPr>
        <w:pStyle w:val="BodyText"/>
      </w:pPr>
      <w:r w:rsidRPr="00A34EB7">
        <w:t xml:space="preserve">Before competency can </w:t>
      </w:r>
      <w:r w:rsidRPr="00A34EB7">
        <w:t>be determined, individuals must demonstrate they can perform the following according to the standards defined in this unit’s elements, performance criteria, range of conditions and foundation skills:</w:t>
      </w:r>
    </w:p>
    <w:p w:rsidR="00000000" w:rsidRPr="00A34EB7" w:rsidP="00A34EB7">
      <w:pPr>
        <w:pStyle w:val="ListBullet"/>
      </w:pPr>
      <w:r w:rsidRPr="00A34EB7">
        <w:t>diagnose and repair a fault in the electrical non CAN-b</w:t>
      </w:r>
      <w:r w:rsidRPr="00A34EB7">
        <w:t>us networked braking system of two different vehicles or machinery.</w:t>
      </w:r>
    </w:p>
    <w:p w:rsidR="00000000" w:rsidRPr="00A34EB7" w:rsidP="00A34EB7">
      <w:pPr>
        <w:pStyle w:val="AllowPageBreak"/>
      </w:pPr>
    </w:p>
    <w:p w:rsidR="00000000" w:rsidRPr="00A34EB7" w:rsidP="00A34EB7">
      <w:pPr>
        <w:pStyle w:val="Heading1"/>
      </w:pPr>
      <w:bookmarkStart w:id="3" w:name="O_771199"/>
      <w:bookmarkEnd w:id="3"/>
      <w:r w:rsidRPr="00A34EB7">
        <w:t>Knowledge Evidence</w:t>
      </w:r>
    </w:p>
    <w:p w:rsidR="00000000" w:rsidRPr="00A34EB7" w:rsidP="00544BAC">
      <w:pPr>
        <w:pStyle w:val="BodyText"/>
      </w:pPr>
      <w:r w:rsidRPr="00A34EB7">
        <w:t>Individuals must be able to demonstrate knowledge of:</w:t>
      </w:r>
    </w:p>
    <w:p w:rsidR="00000000" w:rsidRPr="00A34EB7" w:rsidP="00A34EB7">
      <w:pPr>
        <w:pStyle w:val="ListBullet"/>
      </w:pPr>
      <w:r w:rsidRPr="00A34EB7">
        <w:t xml:space="preserve">work health and safety (WHS) and occupational health and safety (OHS) requirements relating </w:t>
      </w:r>
      <w:r w:rsidRPr="00A34EB7">
        <w:t>to diagnosing and repairing electric braking systems, including procedures for:</w:t>
      </w:r>
    </w:p>
    <w:p w:rsidR="00000000" w:rsidRPr="00A34EB7" w:rsidP="00A34EB7">
      <w:pPr>
        <w:pStyle w:val="ListBullet2"/>
      </w:pPr>
      <w:r w:rsidRPr="00A34EB7">
        <w:t>using specialised tools and equipment</w:t>
      </w:r>
    </w:p>
    <w:p w:rsidR="00000000" w:rsidRPr="00A34EB7" w:rsidP="00A34EB7">
      <w:pPr>
        <w:pStyle w:val="ListBullet2"/>
      </w:pPr>
      <w:r w:rsidRPr="00A34EB7">
        <w:t>using appropriate personal protective equipment (PPE)</w:t>
      </w:r>
    </w:p>
    <w:p w:rsidR="00000000" w:rsidRPr="00A34EB7" w:rsidP="00A34EB7">
      <w:pPr>
        <w:pStyle w:val="ListBullet2"/>
      </w:pPr>
      <w:r w:rsidRPr="00A34EB7">
        <w:t>identifying hazards and controlling risks associated with working on vehicle high v</w:t>
      </w:r>
      <w:r w:rsidRPr="00A34EB7">
        <w:t>oltage ignition systems, including standard precautions including not wearing jewellery while working around high current wiring systems</w:t>
      </w:r>
    </w:p>
    <w:p w:rsidR="00000000" w:rsidRPr="00A34EB7" w:rsidP="00A34EB7">
      <w:pPr>
        <w:pStyle w:val="ListBullet"/>
      </w:pPr>
      <w:r w:rsidRPr="00A34EB7">
        <w:t>electrical principles, including:</w:t>
      </w:r>
    </w:p>
    <w:p w:rsidR="00000000" w:rsidRPr="00A34EB7" w:rsidP="00A34EB7">
      <w:pPr>
        <w:pStyle w:val="ListBullet2"/>
      </w:pPr>
      <w:r w:rsidRPr="00A34EB7">
        <w:t>current, voltage, resistance and power</w:t>
      </w:r>
    </w:p>
    <w:p w:rsidR="00000000" w:rsidRPr="00A34EB7" w:rsidP="00A34EB7">
      <w:pPr>
        <w:pStyle w:val="ListBullet2"/>
      </w:pPr>
      <w:r w:rsidRPr="00A34EB7">
        <w:t>series circuits</w:t>
      </w:r>
    </w:p>
    <w:p w:rsidR="00000000" w:rsidRPr="00A34EB7" w:rsidP="00A34EB7">
      <w:pPr>
        <w:pStyle w:val="ListBullet2"/>
      </w:pPr>
      <w:r w:rsidRPr="00A34EB7">
        <w:t>parallel circuits</w:t>
      </w:r>
    </w:p>
    <w:p w:rsidR="00000000" w:rsidRPr="00A34EB7" w:rsidP="00A34EB7">
      <w:pPr>
        <w:pStyle w:val="ListBullet2"/>
      </w:pPr>
      <w:r w:rsidRPr="00A34EB7">
        <w:t>series and</w:t>
      </w:r>
      <w:r w:rsidRPr="00A34EB7">
        <w:t xml:space="preserve"> parallel circuits</w:t>
      </w:r>
    </w:p>
    <w:p w:rsidR="00000000" w:rsidRPr="00A34EB7" w:rsidP="00A34EB7">
      <w:pPr>
        <w:pStyle w:val="ListBullet2"/>
      </w:pPr>
      <w:r w:rsidRPr="00A34EB7">
        <w:t>Ohm’s law</w:t>
      </w:r>
    </w:p>
    <w:p w:rsidR="00000000" w:rsidRPr="00A34EB7" w:rsidP="00A34EB7">
      <w:pPr>
        <w:pStyle w:val="ListBullet2"/>
      </w:pPr>
      <w:r w:rsidRPr="00A34EB7">
        <w:t>Faraday’s law</w:t>
      </w:r>
    </w:p>
    <w:p w:rsidR="00000000" w:rsidRPr="00A34EB7" w:rsidP="00A34EB7">
      <w:pPr>
        <w:pStyle w:val="ListBullet2"/>
      </w:pPr>
      <w:r w:rsidRPr="00A34EB7">
        <w:t>Kirchhoff</w:t>
      </w:r>
      <w:r>
        <w:t>’</w:t>
      </w:r>
      <w:r w:rsidRPr="00A34EB7">
        <w:t>s law</w:t>
      </w:r>
    </w:p>
    <w:p w:rsidR="00000000" w:rsidRPr="00A34EB7" w:rsidP="00A34EB7">
      <w:pPr>
        <w:pStyle w:val="ListBullet2"/>
      </w:pPr>
      <w:r w:rsidRPr="00A34EB7">
        <w:t>electromagnetic interference and radiation</w:t>
      </w:r>
    </w:p>
    <w:p w:rsidR="00000000" w:rsidRPr="00A34EB7" w:rsidP="00A34EB7">
      <w:pPr>
        <w:pStyle w:val="ListBullet"/>
      </w:pPr>
      <w:r w:rsidRPr="00A34EB7">
        <w:t>application, purpose and operation of electric braking systems and components, including:</w:t>
      </w:r>
    </w:p>
    <w:p w:rsidR="00000000" w:rsidRPr="00A34EB7" w:rsidP="00A34EB7">
      <w:pPr>
        <w:pStyle w:val="ListBullet2"/>
      </w:pPr>
      <w:r w:rsidRPr="00A34EB7">
        <w:t>control systems, including:</w:t>
      </w:r>
    </w:p>
    <w:p w:rsidR="00000000" w:rsidRPr="00A34EB7" w:rsidP="00A34EB7">
      <w:pPr>
        <w:pStyle w:val="ListBullet3"/>
      </w:pPr>
      <w:r w:rsidRPr="00A34EB7">
        <w:t>electric over hydraulic</w:t>
      </w:r>
    </w:p>
    <w:p w:rsidR="00000000" w:rsidRPr="00A34EB7" w:rsidP="00A34EB7">
      <w:pPr>
        <w:pStyle w:val="ListBullet3"/>
      </w:pPr>
      <w:r w:rsidRPr="00A34EB7">
        <w:t>electric over vacuum</w:t>
      </w:r>
    </w:p>
    <w:p w:rsidR="00000000" w:rsidRPr="00A34EB7" w:rsidP="00A34EB7">
      <w:pPr>
        <w:pStyle w:val="ListBullet2"/>
      </w:pPr>
      <w:r w:rsidRPr="00A34EB7">
        <w:t>circuit protection devices</w:t>
      </w:r>
    </w:p>
    <w:p w:rsidR="00000000" w:rsidRPr="00A34EB7" w:rsidP="00A34EB7">
      <w:pPr>
        <w:pStyle w:val="ListBullet2"/>
      </w:pPr>
      <w:r w:rsidRPr="00A34EB7">
        <w:t>switches, relays and globes, including light emitting diodes (LEDs)</w:t>
      </w:r>
    </w:p>
    <w:p w:rsidR="00000000" w:rsidRPr="00A34EB7" w:rsidP="00A34EB7">
      <w:pPr>
        <w:pStyle w:val="ListBullet2"/>
      </w:pPr>
      <w:r w:rsidRPr="00A34EB7">
        <w:t>cable types and sizes and current carrying capacity</w:t>
      </w:r>
    </w:p>
    <w:p w:rsidR="00000000" w:rsidRPr="00A34EB7" w:rsidP="00A34EB7">
      <w:pPr>
        <w:pStyle w:val="ListBullet2"/>
      </w:pPr>
      <w:r w:rsidRPr="00A34EB7">
        <w:t>sensors (two and three-wire)</w:t>
      </w:r>
    </w:p>
    <w:p w:rsidR="00000000" w:rsidRPr="00A34EB7" w:rsidP="00A34EB7">
      <w:pPr>
        <w:pStyle w:val="ListBullet2"/>
      </w:pPr>
      <w:r w:rsidRPr="00A34EB7">
        <w:t>actuators, including pulse width modulated (PWM)</w:t>
      </w:r>
    </w:p>
    <w:p w:rsidR="00000000" w:rsidRPr="00A34EB7" w:rsidP="00A34EB7">
      <w:pPr>
        <w:pStyle w:val="ListBullet"/>
      </w:pPr>
      <w:r w:rsidRPr="00A34EB7">
        <w:t>techniques for reading and interpreting technical information, including circuit types, diagrams and symbols</w:t>
      </w:r>
    </w:p>
    <w:p w:rsidR="00000000" w:rsidRPr="00A34EB7" w:rsidP="00A34EB7">
      <w:pPr>
        <w:pStyle w:val="ListBullet"/>
      </w:pPr>
      <w:r w:rsidRPr="00A34EB7">
        <w:t>diagnostic testing procedures for electric braking systems, including:</w:t>
      </w:r>
    </w:p>
    <w:p w:rsidR="00000000" w:rsidRPr="00A34EB7" w:rsidP="00A34EB7">
      <w:pPr>
        <w:pStyle w:val="ListBullet2"/>
      </w:pPr>
      <w:r w:rsidRPr="00A34EB7">
        <w:t>using diagnostic flow charts</w:t>
      </w:r>
    </w:p>
    <w:p w:rsidR="00000000" w:rsidRPr="00A34EB7" w:rsidP="00A34EB7">
      <w:pPr>
        <w:pStyle w:val="ListBullet2"/>
      </w:pPr>
      <w:r w:rsidRPr="00A34EB7">
        <w:t>testing electrical systems, including procedur</w:t>
      </w:r>
      <w:r w:rsidRPr="00A34EB7">
        <w:t>es for:</w:t>
      </w:r>
    </w:p>
    <w:p w:rsidR="00000000" w:rsidRPr="00A34EB7" w:rsidP="00A34EB7">
      <w:pPr>
        <w:pStyle w:val="ListBullet3"/>
      </w:pPr>
      <w:r w:rsidRPr="00A34EB7">
        <w:t>accessing electrical terminals and using test probes without damaging connectors, fuse holders or wiring</w:t>
      </w:r>
    </w:p>
    <w:p w:rsidR="00000000" w:rsidRPr="00A34EB7" w:rsidP="00A34EB7">
      <w:pPr>
        <w:pStyle w:val="ListBullet3"/>
      </w:pPr>
      <w:r w:rsidRPr="00A34EB7">
        <w:t>testing resistance and voltage drop</w:t>
      </w:r>
    </w:p>
    <w:p w:rsidR="00000000" w:rsidRPr="00A34EB7" w:rsidP="00A34EB7">
      <w:pPr>
        <w:pStyle w:val="ListBullet3"/>
      </w:pPr>
      <w:r w:rsidRPr="00A34EB7">
        <w:t>testing open and short circuits</w:t>
      </w:r>
    </w:p>
    <w:p w:rsidR="00000000" w:rsidRPr="00A34EB7" w:rsidP="00A34EB7">
      <w:pPr>
        <w:pStyle w:val="ListBullet3"/>
      </w:pPr>
      <w:r w:rsidRPr="00A34EB7">
        <w:t>checking shorts to signal, power circuits and grounds</w:t>
      </w:r>
    </w:p>
    <w:p w:rsidR="00000000" w:rsidRPr="00A34EB7" w:rsidP="00A34EB7">
      <w:pPr>
        <w:pStyle w:val="ListBullet2"/>
      </w:pPr>
      <w:r w:rsidRPr="00A34EB7">
        <w:t>visual, aural and functional assessments of electric braking system components, including:</w:t>
      </w:r>
    </w:p>
    <w:p w:rsidR="00000000" w:rsidRPr="00A34EB7" w:rsidP="00A34EB7">
      <w:pPr>
        <w:pStyle w:val="ListBullet3"/>
      </w:pPr>
      <w:r w:rsidRPr="00A34EB7">
        <w:t>component damage and wear</w:t>
      </w:r>
    </w:p>
    <w:p w:rsidR="00000000" w:rsidRPr="00A34EB7" w:rsidP="00A34EB7">
      <w:pPr>
        <w:pStyle w:val="ListBullet3"/>
      </w:pPr>
      <w:r w:rsidRPr="00A34EB7">
        <w:t>component or connector corrosion</w:t>
      </w:r>
    </w:p>
    <w:p w:rsidR="00000000" w:rsidRPr="00A34EB7" w:rsidP="00A34EB7">
      <w:pPr>
        <w:pStyle w:val="ListBullet3"/>
      </w:pPr>
      <w:r w:rsidRPr="00A34EB7">
        <w:t>component water or moisture ingress</w:t>
      </w:r>
    </w:p>
    <w:p w:rsidR="00000000" w:rsidRPr="00A34EB7" w:rsidP="00A34EB7">
      <w:pPr>
        <w:pStyle w:val="ListBullet"/>
      </w:pPr>
      <w:r w:rsidRPr="00A34EB7">
        <w:t>repair procedures for electric braking system circuits, including pr</w:t>
      </w:r>
      <w:r w:rsidRPr="00A34EB7">
        <w:t>ocedures for removing and replacing:</w:t>
      </w:r>
    </w:p>
    <w:p w:rsidR="00000000" w:rsidRPr="00A34EB7" w:rsidP="00A34EB7">
      <w:pPr>
        <w:pStyle w:val="ListBullet2"/>
      </w:pPr>
      <w:r w:rsidRPr="00A34EB7">
        <w:t>brake controllers</w:t>
      </w:r>
    </w:p>
    <w:p w:rsidR="00000000" w:rsidRPr="00A34EB7" w:rsidP="00A34EB7">
      <w:pPr>
        <w:pStyle w:val="ListBullet2"/>
      </w:pPr>
      <w:r w:rsidRPr="00A34EB7">
        <w:t>electric drum brakes</w:t>
      </w:r>
    </w:p>
    <w:p w:rsidR="00000000" w:rsidRPr="00A34EB7" w:rsidP="00A34EB7">
      <w:pPr>
        <w:pStyle w:val="ListBullet2"/>
      </w:pPr>
      <w:r w:rsidRPr="00A34EB7">
        <w:t xml:space="preserve">electric disc brakes </w:t>
      </w:r>
    </w:p>
    <w:p w:rsidR="00000000" w:rsidRPr="00A34EB7" w:rsidP="00A34EB7">
      <w:pPr>
        <w:pStyle w:val="ListBullet2"/>
      </w:pPr>
      <w:r w:rsidRPr="00A34EB7">
        <w:t xml:space="preserve">electric braking system wiring and connectors </w:t>
      </w:r>
    </w:p>
    <w:p w:rsidR="00000000" w:rsidRPr="00A34EB7" w:rsidP="00A34EB7">
      <w:pPr>
        <w:pStyle w:val="ListBullet"/>
      </w:pPr>
      <w:r w:rsidRPr="00A34EB7">
        <w:t>post-repair testing procedures, including static and dynamic performance tests of electric braking systems.</w:t>
      </w:r>
    </w:p>
    <w:p w:rsidR="00000000" w:rsidRPr="00A34EB7" w:rsidP="00A34EB7">
      <w:pPr>
        <w:pStyle w:val="AllowPageBreak"/>
      </w:pPr>
    </w:p>
    <w:p w:rsidR="00000000" w:rsidRPr="00A34EB7" w:rsidP="00A34EB7">
      <w:pPr>
        <w:pStyle w:val="Heading1"/>
      </w:pPr>
      <w:bookmarkStart w:id="4" w:name="O_771200"/>
      <w:bookmarkEnd w:id="4"/>
      <w:r w:rsidRPr="00A34EB7">
        <w:t>Assessment Conditions</w:t>
      </w:r>
    </w:p>
    <w:p w:rsidR="00000000" w:rsidRPr="00A34EB7" w:rsidP="00544BAC">
      <w:pPr>
        <w:pStyle w:val="BodyText"/>
      </w:pPr>
      <w:r w:rsidRPr="00A34EB7">
        <w:t>Assessors must satisfy NVR/AQTF assessor requirements.</w:t>
      </w:r>
    </w:p>
    <w:p w:rsidR="00000000" w:rsidRPr="00A34EB7" w:rsidP="00544BAC">
      <w:pPr>
        <w:pStyle w:val="BodyText"/>
      </w:pPr>
      <w:r w:rsidRPr="00A34EB7">
        <w:t>Competency is to be assessed in the workplace or a simulated environment that accurately reflects performance in a real workplace setting.</w:t>
      </w:r>
    </w:p>
    <w:p w:rsidR="00000000" w:rsidRPr="00A34EB7" w:rsidP="00544BAC">
      <w:pPr>
        <w:pStyle w:val="BodyText"/>
      </w:pPr>
      <w:r w:rsidRPr="00A34EB7">
        <w:t>Assessment must includ</w:t>
      </w:r>
      <w:r w:rsidRPr="00A34EB7">
        <w:t>e direct observation of tasks.</w:t>
      </w:r>
    </w:p>
    <w:p w:rsidR="00000000" w:rsidRPr="00A34EB7" w:rsidP="00544BAC">
      <w:pPr>
        <w:pStyle w:val="BodyText"/>
      </w:pPr>
      <w:r w:rsidRPr="00A34EB7">
        <w:t>Where assessment includes third-party evidence, individuals must provide evidence that links them to the electric braking systems that they have worked on, e.g. repair orders.</w:t>
      </w:r>
    </w:p>
    <w:p w:rsidR="00000000" w:rsidRPr="00A34EB7" w:rsidP="00544BAC">
      <w:pPr>
        <w:pStyle w:val="BodyText"/>
      </w:pPr>
      <w:r w:rsidRPr="00A34EB7">
        <w:t>Assessors must verify performance evidence through questioning on skills and knowledge to ensure correct interpretation and application.</w:t>
      </w:r>
    </w:p>
    <w:p w:rsidR="00000000" w:rsidRPr="00A34EB7" w:rsidP="00544BAC">
      <w:pPr>
        <w:pStyle w:val="BodyText"/>
      </w:pPr>
      <w:r w:rsidRPr="00A34EB7">
        <w:t>The following resources must be made available:</w:t>
      </w:r>
    </w:p>
    <w:p w:rsidR="00000000" w:rsidRPr="00A34EB7" w:rsidP="00A34EB7">
      <w:pPr>
        <w:pStyle w:val="ListBullet"/>
      </w:pPr>
      <w:r w:rsidRPr="00A34EB7">
        <w:t>automotive repair workplace or simulated workplace</w:t>
      </w:r>
    </w:p>
    <w:p w:rsidR="00000000" w:rsidRPr="00A34EB7" w:rsidP="00A34EB7">
      <w:pPr>
        <w:pStyle w:val="ListBullet"/>
      </w:pPr>
      <w:r w:rsidRPr="00A34EB7">
        <w:t>workplace instruct</w:t>
      </w:r>
      <w:r w:rsidRPr="00A34EB7">
        <w:t>ions</w:t>
      </w:r>
    </w:p>
    <w:p w:rsidR="00000000" w:rsidRPr="00A34EB7" w:rsidP="00A34EB7">
      <w:pPr>
        <w:pStyle w:val="ListBullet"/>
      </w:pPr>
      <w:r w:rsidRPr="00A34EB7">
        <w:t>manufacturer electric braking system specifications</w:t>
      </w:r>
    </w:p>
    <w:p w:rsidR="00000000" w:rsidRPr="00A34EB7" w:rsidP="00A34EB7">
      <w:pPr>
        <w:pStyle w:val="ListBullet"/>
      </w:pPr>
      <w:r w:rsidRPr="00A34EB7">
        <w:t>two different vehicles or machinery with electric braking system faults</w:t>
      </w:r>
    </w:p>
    <w:p w:rsidR="00000000" w:rsidRPr="00A34EB7" w:rsidP="00A34EB7">
      <w:pPr>
        <w:pStyle w:val="ListBullet"/>
      </w:pPr>
      <w:r w:rsidRPr="00A34EB7">
        <w:t>diagnostic equipment for electric braking systems, including:</w:t>
      </w:r>
    </w:p>
    <w:p w:rsidR="00000000" w:rsidRPr="00A34EB7" w:rsidP="00A34EB7">
      <w:pPr>
        <w:pStyle w:val="ListBullet2"/>
      </w:pPr>
      <w:r w:rsidRPr="00A34EB7">
        <w:t>multimeter</w:t>
      </w:r>
    </w:p>
    <w:p w:rsidR="00000000" w:rsidRPr="00A34EB7" w:rsidP="00A34EB7">
      <w:pPr>
        <w:pStyle w:val="ListBullet2"/>
      </w:pPr>
      <w:r w:rsidRPr="00A34EB7">
        <w:t xml:space="preserve">scan tool </w:t>
      </w:r>
    </w:p>
    <w:p w:rsidR="00000000" w:rsidRPr="00A34EB7" w:rsidP="00A34EB7">
      <w:pPr>
        <w:pStyle w:val="ListBullet"/>
      </w:pPr>
      <w:r w:rsidRPr="00A34EB7">
        <w:t>tools, equipment and materials appropriat</w:t>
      </w:r>
      <w:r w:rsidRPr="00A34EB7">
        <w:t>e for repairing vehicle and machinery electric braking systems.</w:t>
      </w:r>
    </w:p>
    <w:p w:rsidR="00000000" w:rsidRPr="00A34EB7" w:rsidP="00A34EB7">
      <w:pPr>
        <w:pStyle w:val="AllowPageBreak"/>
      </w:pPr>
    </w:p>
    <w:p w:rsidR="00000000" w:rsidRPr="00A34EB7" w:rsidP="00A34EB7">
      <w:pPr>
        <w:pStyle w:val="Heading1"/>
      </w:pPr>
      <w:bookmarkStart w:id="5" w:name="O_771203"/>
      <w:bookmarkEnd w:id="5"/>
      <w:r w:rsidRPr="00A34EB7">
        <w:t>Links</w:t>
      </w:r>
    </w:p>
    <w:p w:rsidR="00000000" w:rsidRPr="00A34EB7" w:rsidP="00544BAC">
      <w:pPr>
        <w:pStyle w:val="BodyText"/>
      </w:pPr>
      <w:r w:rsidRPr="00A34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01C6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34EB7" w:rsidP="00544BAC">
      <w:pPr>
        <w:pStyle w:val="BodyText"/>
      </w:pPr>
      <w:r w:rsidRPr="00A34E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01C6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34EB7" w:rsidP="00A34EB7"/>
    <w:sectPr w:rsidSect="00A34E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B7" w:rsidRPr="00544BAC" w:rsidP="00544B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AC" w:rsidP="00A34E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BAC" w:rsidP="00A34E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4BAC" w:rsidP="00A34E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EB7" w:rsidRPr="00544BAC" w:rsidP="00544B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AC" w:rsidRPr="002D2AF8" w:rsidP="00A34E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AURETB001 Diagnose and repair electric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544BAC" w:rsidP="00A34E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489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A4D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A86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E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E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E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E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E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E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E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E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E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E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E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EB7"/>
  </w:style>
  <w:style w:type="character" w:customStyle="1" w:styleId="Heading1Char">
    <w:name w:val="Heading 1 Char"/>
    <w:basedOn w:val="DefaultParagraphFont"/>
    <w:link w:val="Heading1"/>
    <w:rsid w:val="00A34E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E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E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E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4EB7"/>
    <w:rPr>
      <w:b/>
      <w:spacing w:val="0"/>
    </w:rPr>
  </w:style>
  <w:style w:type="paragraph" w:styleId="ListBullet2">
    <w:name w:val="List Bullet 2"/>
    <w:basedOn w:val="List2"/>
    <w:rsid w:val="00A34E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4E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E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4E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4E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E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E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E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E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E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E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E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E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E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E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E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E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E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E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E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E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E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4E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E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E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E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E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E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E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E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E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E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E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E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EB7"/>
    <w:rPr>
      <w:i/>
    </w:rPr>
  </w:style>
  <w:style w:type="paragraph" w:styleId="Caption">
    <w:name w:val="caption"/>
    <w:basedOn w:val="BodyText"/>
    <w:next w:val="Normal"/>
    <w:qFormat/>
    <w:rsid w:val="00A34E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E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E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EB7"/>
  </w:style>
  <w:style w:type="paragraph" w:styleId="TableofFigures">
    <w:name w:val="table of figures"/>
    <w:basedOn w:val="Normal"/>
    <w:next w:val="Normal"/>
    <w:semiHidden/>
    <w:rsid w:val="00A34E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E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4EB7"/>
    <w:rPr>
      <w:rFonts w:ascii="Wingdings" w:hAnsi="Wingdings"/>
    </w:rPr>
  </w:style>
  <w:style w:type="paragraph" w:customStyle="1" w:styleId="TableHeading">
    <w:name w:val="Table Heading"/>
    <w:basedOn w:val="HeadingBase"/>
    <w:rsid w:val="00A34E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EB7"/>
    <w:rPr>
      <w:color w:val="0033CC"/>
      <w:u w:val="none"/>
    </w:rPr>
  </w:style>
  <w:style w:type="paragraph" w:customStyle="1" w:styleId="BodyTextRight">
    <w:name w:val="Body Text Right"/>
    <w:basedOn w:val="BodyText"/>
    <w:rsid w:val="00A34E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E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E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E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E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E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EB7"/>
    <w:rPr>
      <w:sz w:val="32"/>
    </w:rPr>
  </w:style>
  <w:style w:type="paragraph" w:customStyle="1" w:styleId="HeadingProcedure">
    <w:name w:val="Heading Procedure"/>
    <w:basedOn w:val="HeadingBase"/>
    <w:next w:val="Normal"/>
    <w:rsid w:val="00A34E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EB7"/>
    <w:pPr>
      <w:spacing w:before="60" w:after="60"/>
    </w:pPr>
  </w:style>
  <w:style w:type="paragraph" w:styleId="ListContinue">
    <w:name w:val="List Continue"/>
    <w:basedOn w:val="List"/>
    <w:rsid w:val="00A34EB7"/>
    <w:pPr>
      <w:ind w:firstLine="0"/>
    </w:pPr>
  </w:style>
  <w:style w:type="paragraph" w:customStyle="1" w:styleId="ListNote">
    <w:name w:val="List Note"/>
    <w:basedOn w:val="List"/>
    <w:rsid w:val="00A34E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E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E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EB7"/>
    <w:rPr>
      <w:rFonts w:ascii="Courier New" w:hAnsi="Courier New"/>
    </w:rPr>
  </w:style>
  <w:style w:type="paragraph" w:customStyle="1" w:styleId="NoteBullet">
    <w:name w:val="Note Bullet"/>
    <w:basedOn w:val="Note"/>
    <w:rsid w:val="00A34E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E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E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E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E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4E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E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EB7"/>
    <w:rPr>
      <w:b/>
      <w:smallCaps/>
    </w:rPr>
  </w:style>
  <w:style w:type="paragraph" w:customStyle="1" w:styleId="TableListNumber">
    <w:name w:val="Table List Number"/>
    <w:basedOn w:val="ListNumber"/>
    <w:rsid w:val="00A34E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E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EB7"/>
    <w:pPr>
      <w:numPr>
        <w:numId w:val="10"/>
      </w:numPr>
    </w:pPr>
  </w:style>
  <w:style w:type="paragraph" w:customStyle="1" w:styleId="ListAlpha2">
    <w:name w:val="List Alpha 2"/>
    <w:basedOn w:val="List2"/>
    <w:rsid w:val="00A34EB7"/>
    <w:pPr>
      <w:numPr>
        <w:numId w:val="9"/>
      </w:numPr>
    </w:pPr>
  </w:style>
  <w:style w:type="paragraph" w:styleId="List2">
    <w:name w:val="List 2"/>
    <w:basedOn w:val="BodyText"/>
    <w:rsid w:val="00A34E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E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E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E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4E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4EB7"/>
    <w:pPr>
      <w:numPr>
        <w:numId w:val="5"/>
      </w:numPr>
    </w:pPr>
  </w:style>
  <w:style w:type="paragraph" w:styleId="ListContinue2">
    <w:name w:val="List Continue 2"/>
    <w:basedOn w:val="List2"/>
    <w:rsid w:val="00A34EB7"/>
    <w:pPr>
      <w:ind w:firstLine="0"/>
    </w:pPr>
  </w:style>
  <w:style w:type="paragraph" w:styleId="ListContinue3">
    <w:name w:val="List Continue 3"/>
    <w:basedOn w:val="List3"/>
    <w:rsid w:val="00A34EB7"/>
    <w:pPr>
      <w:ind w:left="1021" w:firstLine="0"/>
    </w:pPr>
  </w:style>
  <w:style w:type="paragraph" w:styleId="ListContinue4">
    <w:name w:val="List Continue 4"/>
    <w:basedOn w:val="List4"/>
    <w:rsid w:val="00A34EB7"/>
    <w:pPr>
      <w:ind w:firstLine="0"/>
    </w:pPr>
  </w:style>
  <w:style w:type="paragraph" w:styleId="ListContinue5">
    <w:name w:val="List Continue 5"/>
    <w:basedOn w:val="List5"/>
    <w:rsid w:val="00A34EB7"/>
    <w:pPr>
      <w:ind w:firstLine="0"/>
    </w:pPr>
  </w:style>
  <w:style w:type="paragraph" w:styleId="ListNumber3">
    <w:name w:val="List Number 3"/>
    <w:basedOn w:val="List3"/>
    <w:rsid w:val="00A34EB7"/>
    <w:pPr>
      <w:numPr>
        <w:numId w:val="6"/>
      </w:numPr>
    </w:pPr>
  </w:style>
  <w:style w:type="paragraph" w:styleId="ListNumber4">
    <w:name w:val="List Number 4"/>
    <w:basedOn w:val="List4"/>
    <w:rsid w:val="00A34EB7"/>
    <w:pPr>
      <w:numPr>
        <w:numId w:val="7"/>
      </w:numPr>
    </w:pPr>
  </w:style>
  <w:style w:type="paragraph" w:styleId="ListNumber5">
    <w:name w:val="List Number 5"/>
    <w:basedOn w:val="List5"/>
    <w:rsid w:val="00A34EB7"/>
    <w:pPr>
      <w:numPr>
        <w:numId w:val="8"/>
      </w:numPr>
    </w:pPr>
  </w:style>
  <w:style w:type="paragraph" w:styleId="BlockText">
    <w:name w:val="Block Text"/>
    <w:basedOn w:val="Normal"/>
    <w:rsid w:val="00A34E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E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EB7"/>
    <w:rPr>
      <w:sz w:val="16"/>
      <w:vertAlign w:val="superscript"/>
    </w:rPr>
  </w:style>
  <w:style w:type="character" w:customStyle="1" w:styleId="Symbols">
    <w:name w:val="Symbols"/>
    <w:basedOn w:val="DefaultParagraphFont"/>
    <w:rsid w:val="00A34EB7"/>
    <w:rPr>
      <w:rFonts w:ascii="Symbol" w:hAnsi="Symbol"/>
    </w:rPr>
  </w:style>
  <w:style w:type="character" w:customStyle="1" w:styleId="MenuOptions">
    <w:name w:val="Menu Options"/>
    <w:basedOn w:val="DefaultParagraphFont"/>
    <w:rsid w:val="00A34E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EB7"/>
    <w:rPr>
      <w:b/>
    </w:rPr>
  </w:style>
  <w:style w:type="character" w:customStyle="1" w:styleId="Underlined">
    <w:name w:val="Underlined"/>
    <w:basedOn w:val="DefaultParagraphFont"/>
    <w:rsid w:val="00A34EB7"/>
    <w:rPr>
      <w:u w:val="single"/>
    </w:rPr>
  </w:style>
  <w:style w:type="paragraph" w:customStyle="1" w:styleId="TableBodyTextRight">
    <w:name w:val="Table Body Text Right"/>
    <w:basedOn w:val="TableBodyText"/>
    <w:rsid w:val="00A34E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EB7"/>
    <w:rPr>
      <w:sz w:val="18"/>
    </w:rPr>
  </w:style>
  <w:style w:type="paragraph" w:customStyle="1" w:styleId="BodySmallRight">
    <w:name w:val="Body Small Right"/>
    <w:basedOn w:val="BodyTextRight"/>
    <w:rsid w:val="00A34EB7"/>
    <w:rPr>
      <w:sz w:val="18"/>
      <w:szCs w:val="18"/>
    </w:rPr>
  </w:style>
  <w:style w:type="paragraph" w:customStyle="1" w:styleId="MarginEdition">
    <w:name w:val="Margin Edition"/>
    <w:basedOn w:val="MarginNote"/>
    <w:rsid w:val="00A34E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EB7"/>
    <w:rPr>
      <w:sz w:val="2"/>
      <w:szCs w:val="2"/>
    </w:rPr>
  </w:style>
  <w:style w:type="character" w:customStyle="1" w:styleId="Small">
    <w:name w:val="Small"/>
    <w:basedOn w:val="DefaultParagraphFont"/>
    <w:rsid w:val="00A34EB7"/>
    <w:rPr>
      <w:sz w:val="16"/>
    </w:rPr>
  </w:style>
  <w:style w:type="paragraph" w:customStyle="1" w:styleId="WideTable">
    <w:name w:val="Wide Table"/>
    <w:basedOn w:val="Normal"/>
    <w:rsid w:val="00A34E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EB7"/>
  </w:style>
  <w:style w:type="paragraph" w:styleId="Quote">
    <w:name w:val="Quote"/>
    <w:basedOn w:val="Heading1"/>
    <w:link w:val="QuoteChar"/>
    <w:qFormat/>
    <w:rsid w:val="00A34E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E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EB7"/>
    <w:pPr>
      <w:pageBreakBefore/>
    </w:pPr>
  </w:style>
  <w:style w:type="paragraph" w:customStyle="1" w:styleId="Border">
    <w:name w:val="Border"/>
    <w:basedOn w:val="Normal"/>
    <w:qFormat/>
    <w:rsid w:val="00A34E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E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E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E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E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E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E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E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E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EB7"/>
    <w:rPr>
      <w:u w:val="single"/>
    </w:rPr>
  </w:style>
  <w:style w:type="character" w:customStyle="1" w:styleId="BoldandItalics">
    <w:name w:val="Bold and Italics"/>
    <w:qFormat/>
    <w:rsid w:val="00A34EB7"/>
    <w:rPr>
      <w:b/>
      <w:i/>
      <w:u w:val="none"/>
    </w:rPr>
  </w:style>
  <w:style w:type="paragraph" w:styleId="BalloonText">
    <w:name w:val="Balloon Text"/>
    <w:basedOn w:val="Normal"/>
    <w:link w:val="BalloonTextChar"/>
    <w:rsid w:val="00A34E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E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E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E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E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E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EB7"/>
    <w:pPr>
      <w:spacing w:before="0" w:after="0"/>
    </w:pPr>
  </w:style>
  <w:style w:type="paragraph" w:customStyle="1" w:styleId="BodyTextBold">
    <w:name w:val="Body Text Bold"/>
    <w:basedOn w:val="BodyText"/>
    <w:qFormat/>
    <w:rsid w:val="00A34EB7"/>
    <w:rPr>
      <w:b/>
    </w:rPr>
  </w:style>
  <w:style w:type="character" w:styleId="Hyperlink">
    <w:name w:val="Hyperlink"/>
    <w:basedOn w:val="DefaultParagraphFont"/>
    <w:uiPriority w:val="99"/>
    <w:unhideWhenUsed/>
    <w:rsid w:val="00544B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3830</Characters>
  <Application>Microsoft Office Word</Application>
  <DocSecurity>0</DocSecurity>
  <Lines>109</Lines>
  <Paragraphs>84</Paragraphs>
  <ScaleCrop>false</ScaleCrop>
  <Company>Author-it Software Corporation Ltd.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AURETB001 Diagnose and repair electric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2022-04-19T09:28:00Z</dcterms:created>
  <dcterms:modified xsi:type="dcterms:W3CDTF">2022-04-19T09:28:00Z</dcterms:modified>
</cp:coreProperties>
</file>