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69F" w:rsidP="00314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AURETA005 Analyse and evaluate electrical and electronic faults in theft-deterrent systems</w:t>
      </w:r>
      <w:r>
        <w:fldChar w:fldCharType="end"/>
      </w:r>
    </w:p>
    <w:p w:rsidR="0031469F" w:rsidP="0031469F">
      <w:pPr>
        <w:pStyle w:val="Version"/>
        <w:sectPr w:rsidSect="00A42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BE8" w:rsidP="00A42BE8">
      <w:pPr>
        <w:pStyle w:val="SuperHeading"/>
      </w:pPr>
      <w:r w:rsidRPr="00A42BE8">
        <w:t>Assessment Requirements for AURETA005 Analyse and evaluate electrical and electronic faults in theft-deterrent systems</w:t>
      </w:r>
    </w:p>
    <w:p w:rsidR="00000000" w:rsidRPr="00A42BE8" w:rsidP="00A42BE8">
      <w:pPr>
        <w:pStyle w:val="Heading1"/>
      </w:pPr>
      <w:bookmarkStart w:id="1" w:name="O_773495"/>
      <w:bookmarkEnd w:id="1"/>
      <w:r w:rsidRPr="00A42BE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146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E8" w:rsidP="00A42BE8">
            <w:pPr>
              <w:pStyle w:val="Heading4"/>
            </w:pPr>
            <w:r w:rsidRPr="00A42BE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BE8">
            <w:pPr>
              <w:pStyle w:val="Heading4"/>
              <w:rPr>
                <w:lang w:val="en-NZ"/>
              </w:rPr>
            </w:pPr>
            <w:r w:rsidRPr="00A42BE8">
              <w:rPr>
                <w:rStyle w:val="SpecialBold"/>
              </w:rPr>
              <w:t>Comment</w:t>
            </w:r>
          </w:p>
        </w:tc>
      </w:tr>
      <w:tr w:rsidTr="003146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BE8">
            <w:pPr>
              <w:pStyle w:val="BodyText"/>
              <w:rPr>
                <w:lang w:val="en-NZ"/>
              </w:rPr>
            </w:pPr>
            <w:r w:rsidRPr="00A42BE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BE8" w:rsidP="00A42BE8">
            <w:pPr>
              <w:pStyle w:val="BodyText"/>
            </w:pPr>
            <w:r w:rsidRPr="00A42BE8">
              <w:t>New unit of competency.</w:t>
            </w:r>
          </w:p>
        </w:tc>
      </w:tr>
    </w:tbl>
    <w:p w:rsidR="00000000" w:rsidRPr="00A42BE8" w:rsidP="00A42BE8">
      <w:pPr>
        <w:pStyle w:val="BodyText"/>
      </w:pPr>
    </w:p>
    <w:p w:rsidR="00000000" w:rsidRPr="00A42BE8" w:rsidP="00A42BE8">
      <w:pPr>
        <w:pStyle w:val="AllowPageBreak"/>
      </w:pPr>
    </w:p>
    <w:p w:rsidR="00000000" w:rsidRPr="00A42BE8" w:rsidP="00A42BE8">
      <w:pPr>
        <w:pStyle w:val="Heading1"/>
      </w:pPr>
      <w:bookmarkStart w:id="2" w:name="O_773496"/>
      <w:bookmarkEnd w:id="2"/>
      <w:r w:rsidRPr="00A42BE8">
        <w:t>Performance Evidence</w:t>
      </w:r>
    </w:p>
    <w:p w:rsidR="00000000" w:rsidRPr="00A42BE8" w:rsidP="0031469F">
      <w:pPr>
        <w:pStyle w:val="BodyText"/>
      </w:pPr>
      <w:r w:rsidRPr="00A42BE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42BE8" w:rsidP="00A42BE8">
      <w:pPr>
        <w:pStyle w:val="ListBullet"/>
      </w:pPr>
      <w:r w:rsidRPr="00A42BE8">
        <w:t>analyse and evaluate an electrica</w:t>
      </w:r>
      <w:r w:rsidRPr="00A42BE8">
        <w:t>l or electronic fault in the embedded network theft-deterrent systems of two different vehicles or machinery</w:t>
      </w:r>
    </w:p>
    <w:p w:rsidR="00000000" w:rsidRPr="00A42BE8" w:rsidP="00A42BE8">
      <w:pPr>
        <w:pStyle w:val="ListBullet"/>
      </w:pPr>
      <w:r w:rsidRPr="00A42BE8">
        <w:t>the above faults must involve two of the following systems:</w:t>
      </w:r>
    </w:p>
    <w:p w:rsidR="00000000" w:rsidRPr="00A42BE8" w:rsidP="00A42BE8">
      <w:pPr>
        <w:pStyle w:val="ListBullet2"/>
      </w:pPr>
      <w:r w:rsidRPr="00A42BE8">
        <w:t>locking and securing</w:t>
      </w:r>
    </w:p>
    <w:p w:rsidR="00000000" w:rsidRPr="00A42BE8" w:rsidP="00A42BE8">
      <w:pPr>
        <w:pStyle w:val="ListBullet2"/>
      </w:pPr>
      <w:r w:rsidRPr="00A42BE8">
        <w:t>passive entry</w:t>
      </w:r>
    </w:p>
    <w:p w:rsidR="00000000" w:rsidRPr="00A42BE8" w:rsidP="00A42BE8">
      <w:pPr>
        <w:pStyle w:val="ListBullet2"/>
      </w:pPr>
      <w:r w:rsidRPr="00A42BE8">
        <w:t>integrated alarm</w:t>
      </w:r>
    </w:p>
    <w:p w:rsidR="00000000" w:rsidRPr="00A42BE8" w:rsidP="00A42BE8">
      <w:pPr>
        <w:pStyle w:val="ListBullet2"/>
      </w:pPr>
      <w:r w:rsidRPr="00A42BE8">
        <w:t xml:space="preserve">engine immobiliser </w:t>
      </w:r>
    </w:p>
    <w:p w:rsidR="00000000" w:rsidRPr="00A42BE8" w:rsidP="00A42BE8">
      <w:pPr>
        <w:pStyle w:val="ListBullet2"/>
      </w:pPr>
      <w:r w:rsidRPr="00A42BE8">
        <w:t>remote access.</w:t>
      </w:r>
    </w:p>
    <w:p w:rsidR="00000000" w:rsidRPr="00A42BE8" w:rsidP="00A42BE8">
      <w:pPr>
        <w:pStyle w:val="AllowPageBreak"/>
      </w:pPr>
    </w:p>
    <w:p w:rsidR="00000000" w:rsidRPr="00A42BE8" w:rsidP="00A42BE8">
      <w:pPr>
        <w:pStyle w:val="Heading1"/>
      </w:pPr>
      <w:bookmarkStart w:id="3" w:name="O_773497"/>
      <w:bookmarkEnd w:id="3"/>
      <w:r w:rsidRPr="00A42BE8">
        <w:t>Knowledge Evidence</w:t>
      </w:r>
    </w:p>
    <w:p w:rsidR="00000000" w:rsidRPr="00A42BE8" w:rsidP="0031469F">
      <w:pPr>
        <w:pStyle w:val="BodyText"/>
      </w:pPr>
      <w:r w:rsidRPr="00A42BE8">
        <w:t>Individuals must be able to demonstrate knowledge of:</w:t>
      </w:r>
    </w:p>
    <w:p w:rsidR="00000000" w:rsidRPr="00A42BE8" w:rsidP="00A42BE8">
      <w:pPr>
        <w:pStyle w:val="ListBullet"/>
      </w:pPr>
      <w:r w:rsidRPr="00A42BE8">
        <w:t>work health and safety (WHS) and occupational health and safety (OHS) requirements relating to analysing and evaluating faults in theft-deterrent systems, including</w:t>
      </w:r>
      <w:r w:rsidRPr="00A42BE8">
        <w:t xml:space="preserve"> procedures for identifying hazards and controlling risks associated with wearing jewellery while working around high current wiring systems</w:t>
      </w:r>
    </w:p>
    <w:p w:rsidR="00000000" w:rsidRPr="00A42BE8" w:rsidP="00A42BE8">
      <w:pPr>
        <w:pStyle w:val="ListBullet"/>
      </w:pPr>
      <w:r w:rsidRPr="00A42BE8">
        <w:t>principles and processes involved in planning and implementing analysis and evaluation of electrical and electronic</w:t>
      </w:r>
      <w:r w:rsidRPr="00A42BE8">
        <w:t xml:space="preserve"> faults in theft-deterrent systems</w:t>
      </w:r>
    </w:p>
    <w:p w:rsidR="00000000" w:rsidRPr="00A42BE8" w:rsidP="00A42BE8">
      <w:pPr>
        <w:pStyle w:val="ListBullet"/>
      </w:pPr>
      <w:r w:rsidRPr="00A42BE8">
        <w:t>design and planning of diagnostic procedures for faults in theft-deterrent systems, including procedures for diagnosing:</w:t>
      </w:r>
    </w:p>
    <w:p w:rsidR="00000000" w:rsidRPr="00A42BE8" w:rsidP="00A42BE8">
      <w:pPr>
        <w:pStyle w:val="ListBullet2"/>
      </w:pPr>
      <w:r w:rsidRPr="00A42BE8">
        <w:t>electrical faults</w:t>
      </w:r>
    </w:p>
    <w:p w:rsidR="00000000" w:rsidRPr="00A42BE8" w:rsidP="00A42BE8">
      <w:pPr>
        <w:pStyle w:val="ListBullet2"/>
      </w:pPr>
      <w:r w:rsidRPr="00A42BE8">
        <w:t>electronic faults</w:t>
      </w:r>
    </w:p>
    <w:p w:rsidR="00000000" w:rsidRPr="00A42BE8" w:rsidP="00A42BE8">
      <w:pPr>
        <w:pStyle w:val="ListBullet"/>
      </w:pPr>
      <w:r w:rsidRPr="00A42BE8">
        <w:t>types, functions, operation and limitations of theft-deterrent systems, including:</w:t>
      </w:r>
    </w:p>
    <w:p w:rsidR="00000000" w:rsidRPr="00A42BE8" w:rsidP="00A42BE8">
      <w:pPr>
        <w:pStyle w:val="ListBullet2"/>
      </w:pPr>
      <w:r w:rsidRPr="00A42BE8">
        <w:t>gateway network control module</w:t>
      </w:r>
    </w:p>
    <w:p w:rsidR="00000000" w:rsidRPr="00A42BE8" w:rsidP="00A42BE8">
      <w:pPr>
        <w:pStyle w:val="ListBullet2"/>
      </w:pPr>
      <w:r w:rsidRPr="00A42BE8">
        <w:t>bus network topography</w:t>
      </w:r>
    </w:p>
    <w:p w:rsidR="00000000" w:rsidRPr="00A42BE8" w:rsidP="00A42BE8">
      <w:pPr>
        <w:pStyle w:val="ListBullet2"/>
      </w:pPr>
      <w:r w:rsidRPr="00A42BE8">
        <w:t>body control module (BCM) functions</w:t>
      </w:r>
    </w:p>
    <w:p w:rsidR="00000000" w:rsidRPr="00A42BE8" w:rsidP="00A42BE8">
      <w:pPr>
        <w:pStyle w:val="ListBullet2"/>
      </w:pPr>
      <w:r w:rsidRPr="00A42BE8">
        <w:t>associated embedded network theft-deterrent system components</w:t>
      </w:r>
    </w:p>
    <w:p w:rsidR="00000000" w:rsidRPr="00A42BE8" w:rsidP="00A42BE8">
      <w:pPr>
        <w:pStyle w:val="ListBullet2"/>
      </w:pPr>
      <w:r w:rsidRPr="00A42BE8">
        <w:t xml:space="preserve">sensor and actuator </w:t>
      </w:r>
      <w:r w:rsidRPr="00A42BE8">
        <w:t>control and monitoring systems</w:t>
      </w:r>
    </w:p>
    <w:p w:rsidR="00000000" w:rsidRPr="00A42BE8" w:rsidP="00A42BE8">
      <w:pPr>
        <w:pStyle w:val="ListBullet2"/>
      </w:pPr>
      <w:r w:rsidRPr="00A42BE8">
        <w:t>control signal circuits</w:t>
      </w:r>
    </w:p>
    <w:p w:rsidR="00000000" w:rsidRPr="00A42BE8" w:rsidP="00A42BE8">
      <w:pPr>
        <w:pStyle w:val="ListBullet"/>
      </w:pPr>
      <w:r w:rsidRPr="00A42BE8">
        <w:t>testing procedures for theft-deterrent systems, including the use of:</w:t>
      </w:r>
    </w:p>
    <w:p w:rsidR="00000000" w:rsidRPr="00A42BE8" w:rsidP="00A42BE8">
      <w:pPr>
        <w:pStyle w:val="ListBullet2"/>
      </w:pPr>
      <w:r w:rsidRPr="00A42BE8">
        <w:t>digital multimeter</w:t>
      </w:r>
    </w:p>
    <w:p w:rsidR="00000000" w:rsidRPr="00A42BE8" w:rsidP="00A42BE8">
      <w:pPr>
        <w:pStyle w:val="ListBullet2"/>
      </w:pPr>
      <w:r w:rsidRPr="00A42BE8">
        <w:t>scan tool</w:t>
      </w:r>
    </w:p>
    <w:p w:rsidR="00000000" w:rsidRPr="00A42BE8" w:rsidP="00A42BE8">
      <w:pPr>
        <w:pStyle w:val="ListBullet2"/>
      </w:pPr>
      <w:r w:rsidRPr="00A42BE8">
        <w:t>oscilloscope</w:t>
      </w:r>
    </w:p>
    <w:p w:rsidR="00000000" w:rsidRPr="00A42BE8" w:rsidP="00A42BE8">
      <w:pPr>
        <w:pStyle w:val="ListBullet"/>
      </w:pPr>
      <w:r w:rsidRPr="00A42BE8">
        <w:t>types, functions, operation and limitations of diagnostic testing equipment required t</w:t>
      </w:r>
      <w:r w:rsidRPr="00A42BE8">
        <w:t>o analyse and evaluate electrical and electronic faults in theft-deterrent systems</w:t>
      </w:r>
    </w:p>
    <w:p w:rsidR="00000000" w:rsidRPr="00A42BE8" w:rsidP="00A42BE8">
      <w:pPr>
        <w:pStyle w:val="ListBullet"/>
      </w:pPr>
      <w:r w:rsidRPr="00A42BE8">
        <w:t>procedures for accessing and interpreting scan tool system data, including:</w:t>
      </w:r>
    </w:p>
    <w:p w:rsidR="00000000" w:rsidRPr="00A42BE8" w:rsidP="00A42BE8">
      <w:pPr>
        <w:pStyle w:val="ListBullet2"/>
      </w:pPr>
      <w:r w:rsidRPr="00A42BE8">
        <w:t>diagnostic trouble codes (DTCs), including:</w:t>
      </w:r>
    </w:p>
    <w:p w:rsidR="00000000" w:rsidRPr="00A42BE8" w:rsidP="00A42BE8">
      <w:pPr>
        <w:pStyle w:val="ListBullet3"/>
      </w:pPr>
      <w:r w:rsidRPr="00A42BE8">
        <w:t>conditions that set the DTCs</w:t>
      </w:r>
    </w:p>
    <w:p w:rsidR="00000000" w:rsidRPr="00A42BE8" w:rsidP="00A42BE8">
      <w:pPr>
        <w:pStyle w:val="ListBullet3"/>
      </w:pPr>
      <w:r w:rsidRPr="00A42BE8">
        <w:t>conditions for running DTCs</w:t>
      </w:r>
    </w:p>
    <w:p w:rsidR="00000000" w:rsidRPr="00A42BE8" w:rsidP="00A42BE8">
      <w:pPr>
        <w:pStyle w:val="ListBullet2"/>
      </w:pPr>
      <w:r w:rsidRPr="00A42BE8">
        <w:t>live data</w:t>
      </w:r>
    </w:p>
    <w:p w:rsidR="00000000" w:rsidRPr="00A42BE8" w:rsidP="00A42BE8">
      <w:pPr>
        <w:pStyle w:val="ListBullet2"/>
      </w:pPr>
      <w:r w:rsidRPr="00A42BE8">
        <w:t>freeze frame data</w:t>
      </w:r>
    </w:p>
    <w:p w:rsidR="00000000" w:rsidRPr="00A42BE8" w:rsidP="00A42BE8">
      <w:pPr>
        <w:pStyle w:val="ListBullet2"/>
      </w:pPr>
      <w:r w:rsidRPr="00A42BE8">
        <w:t>waveforms</w:t>
      </w:r>
    </w:p>
    <w:p w:rsidR="00000000" w:rsidRPr="00A42BE8" w:rsidP="00A42BE8">
      <w:pPr>
        <w:pStyle w:val="ListBullet"/>
      </w:pPr>
      <w:r w:rsidRPr="00A42BE8">
        <w:t xml:space="preserve">procedures for documenting and reporting the analysis and evaluation process </w:t>
      </w:r>
    </w:p>
    <w:p w:rsidR="00000000" w:rsidRPr="00A42BE8" w:rsidP="00A42BE8">
      <w:pPr>
        <w:pStyle w:val="ListBullet"/>
      </w:pPr>
      <w:r w:rsidRPr="00A42BE8">
        <w:t>requirements of Australian Design Rules (ADRs) relating to theft-deterrent systems.</w:t>
      </w:r>
    </w:p>
    <w:p w:rsidR="00000000" w:rsidRPr="00A42BE8" w:rsidP="00A42BE8">
      <w:pPr>
        <w:pStyle w:val="AllowPageBreak"/>
      </w:pPr>
    </w:p>
    <w:p w:rsidR="00000000" w:rsidRPr="00A42BE8" w:rsidP="00A42BE8">
      <w:pPr>
        <w:pStyle w:val="Heading1"/>
      </w:pPr>
      <w:bookmarkStart w:id="4" w:name="O_773498"/>
      <w:bookmarkEnd w:id="4"/>
      <w:r w:rsidRPr="00A42BE8">
        <w:t>Assessment Conditions</w:t>
      </w:r>
    </w:p>
    <w:p w:rsidR="00000000" w:rsidRPr="00A42BE8" w:rsidP="0031469F">
      <w:pPr>
        <w:pStyle w:val="BodyText"/>
      </w:pPr>
      <w:r w:rsidRPr="00A42BE8">
        <w:t>Assessors must satisfy NVR/AQTF assessor requirements.</w:t>
      </w:r>
    </w:p>
    <w:p w:rsidR="00000000" w:rsidRPr="00A42BE8" w:rsidP="0031469F">
      <w:pPr>
        <w:pStyle w:val="BodyText"/>
      </w:pPr>
      <w:r w:rsidRPr="00A42BE8">
        <w:t>Competency is to be assessed in the workplace or a simulated environment that accurately reflects performance in a real workplace setting.</w:t>
      </w:r>
    </w:p>
    <w:p w:rsidR="00000000" w:rsidRPr="00A42BE8" w:rsidP="0031469F">
      <w:pPr>
        <w:pStyle w:val="BodyText"/>
      </w:pPr>
      <w:r w:rsidRPr="00A42BE8">
        <w:t>Assessment must include direct observa</w:t>
      </w:r>
      <w:r w:rsidRPr="00A42BE8">
        <w:t>tion of tasks.</w:t>
      </w:r>
    </w:p>
    <w:p w:rsidR="00000000" w:rsidRPr="00A42BE8" w:rsidP="0031469F">
      <w:pPr>
        <w:pStyle w:val="BodyText"/>
      </w:pPr>
      <w:r w:rsidRPr="00A42BE8">
        <w:t>Where assessment of competency includes third-party evidence, individuals must provide evidence that links them to the theft-deterrent systems that they have worked on, e.g. repair orders.</w:t>
      </w:r>
    </w:p>
    <w:p w:rsidR="00000000" w:rsidRPr="00A42BE8" w:rsidP="0031469F">
      <w:pPr>
        <w:pStyle w:val="BodyText"/>
      </w:pPr>
      <w:r w:rsidRPr="00A42BE8">
        <w:t>Assessors must verify performance evidence through</w:t>
      </w:r>
      <w:r w:rsidRPr="00A42BE8">
        <w:t xml:space="preserve"> questioning on skills and knowledge to ensure correct interpretation and application.</w:t>
      </w:r>
    </w:p>
    <w:p w:rsidR="00000000" w:rsidRPr="00A42BE8" w:rsidP="0031469F">
      <w:pPr>
        <w:pStyle w:val="BodyText"/>
      </w:pPr>
      <w:r w:rsidRPr="00A42BE8">
        <w:t>The following resources must be made available:</w:t>
      </w:r>
    </w:p>
    <w:p w:rsidR="00000000" w:rsidRPr="00A42BE8" w:rsidP="00A42BE8">
      <w:pPr>
        <w:pStyle w:val="ListBullet"/>
      </w:pPr>
      <w:r w:rsidRPr="00A42BE8">
        <w:t>automotive repair workplace or simulated workplace</w:t>
      </w:r>
    </w:p>
    <w:p w:rsidR="00000000" w:rsidRPr="00A42BE8" w:rsidP="00A42BE8">
      <w:pPr>
        <w:pStyle w:val="ListBullet"/>
      </w:pPr>
      <w:r w:rsidRPr="00A42BE8">
        <w:t>workplace instructions</w:t>
      </w:r>
    </w:p>
    <w:p w:rsidR="00000000" w:rsidRPr="00A42BE8" w:rsidP="00A42BE8">
      <w:pPr>
        <w:pStyle w:val="ListBullet"/>
      </w:pPr>
      <w:r w:rsidRPr="00A42BE8">
        <w:t>manufacturer theft-deterrent system specifica</w:t>
      </w:r>
      <w:r w:rsidRPr="00A42BE8">
        <w:t>tions</w:t>
      </w:r>
    </w:p>
    <w:p w:rsidR="00000000" w:rsidRPr="00A42BE8" w:rsidP="00A42BE8">
      <w:pPr>
        <w:pStyle w:val="ListBullet"/>
      </w:pPr>
      <w:r w:rsidRPr="00A42BE8">
        <w:t>two different vehicles or machinery with faults in the theft-deterrent systems specified in the performance evidence</w:t>
      </w:r>
    </w:p>
    <w:p w:rsidR="00000000" w:rsidRPr="00A42BE8" w:rsidP="00A42BE8">
      <w:pPr>
        <w:pStyle w:val="ListBullet"/>
      </w:pPr>
      <w:r w:rsidRPr="00A42BE8">
        <w:t>diagnostic equipment for theft-deterrent system fault diagnosis, including:</w:t>
      </w:r>
    </w:p>
    <w:p w:rsidR="00000000" w:rsidRPr="00A42BE8" w:rsidP="00A42BE8">
      <w:pPr>
        <w:pStyle w:val="ListBullet2"/>
      </w:pPr>
      <w:r w:rsidRPr="00A42BE8">
        <w:t>digital multimeter</w:t>
      </w:r>
    </w:p>
    <w:p w:rsidR="00000000" w:rsidRPr="00A42BE8" w:rsidP="00A42BE8">
      <w:pPr>
        <w:pStyle w:val="ListBullet2"/>
      </w:pPr>
      <w:r w:rsidRPr="00A42BE8">
        <w:t xml:space="preserve">scan tool </w:t>
      </w:r>
    </w:p>
    <w:p w:rsidR="00000000" w:rsidRPr="00A42BE8" w:rsidP="00A42BE8">
      <w:pPr>
        <w:pStyle w:val="ListBullet2"/>
      </w:pPr>
      <w:r w:rsidRPr="00A42BE8">
        <w:t>oscilloscope</w:t>
      </w:r>
    </w:p>
    <w:p w:rsidR="00000000" w:rsidRPr="00A42BE8" w:rsidP="00A42BE8">
      <w:pPr>
        <w:pStyle w:val="ListBullet"/>
      </w:pPr>
      <w:r w:rsidRPr="00A42BE8">
        <w:t>tools, equipment and materials appropriate for analysing and evaluating theft-deterrent systems.</w:t>
      </w:r>
    </w:p>
    <w:p w:rsidR="00000000" w:rsidRPr="00A42BE8" w:rsidP="00A42BE8">
      <w:pPr>
        <w:pStyle w:val="AllowPageBreak"/>
      </w:pPr>
    </w:p>
    <w:p w:rsidR="00000000" w:rsidRPr="00A42BE8" w:rsidP="00A42BE8">
      <w:pPr>
        <w:pStyle w:val="Heading1"/>
      </w:pPr>
      <w:bookmarkStart w:id="5" w:name="O_773501"/>
      <w:bookmarkEnd w:id="5"/>
      <w:r w:rsidRPr="00A42BE8">
        <w:t>Links</w:t>
      </w:r>
    </w:p>
    <w:p w:rsidR="00000000" w:rsidRPr="00A42BE8" w:rsidP="0031469F">
      <w:pPr>
        <w:pStyle w:val="BodyText"/>
      </w:pPr>
      <w:r w:rsidRPr="00A42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57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2BE8" w:rsidP="0031469F">
      <w:pPr>
        <w:pStyle w:val="BodyText"/>
      </w:pPr>
      <w:r w:rsidRPr="00A42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57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2BE8" w:rsidP="00A42BE8"/>
    <w:sectPr w:rsidSect="00A42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E8" w:rsidRPr="0031469F" w:rsidP="00314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9F" w:rsidP="00A42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69F" w:rsidP="00A42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469F" w:rsidP="00A42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BE8" w:rsidRPr="0031469F" w:rsidP="00314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9F" w:rsidRPr="002D2AF8" w:rsidP="00A42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AURETA005 Analyse and evaluate electrical and electronic faults in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31469F" w:rsidP="00A42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6D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4D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29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BE8"/>
  </w:style>
  <w:style w:type="character" w:customStyle="1" w:styleId="Heading1Char">
    <w:name w:val="Heading 1 Char"/>
    <w:basedOn w:val="DefaultParagraphFont"/>
    <w:link w:val="Heading1"/>
    <w:rsid w:val="00A42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B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2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B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BE8"/>
    <w:rPr>
      <w:b/>
      <w:spacing w:val="0"/>
    </w:rPr>
  </w:style>
  <w:style w:type="paragraph" w:styleId="ListBullet2">
    <w:name w:val="List Bullet 2"/>
    <w:basedOn w:val="List2"/>
    <w:rsid w:val="00A42B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2B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2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BE8"/>
    <w:rPr>
      <w:i/>
    </w:rPr>
  </w:style>
  <w:style w:type="paragraph" w:styleId="Caption">
    <w:name w:val="caption"/>
    <w:basedOn w:val="BodyText"/>
    <w:next w:val="Normal"/>
    <w:qFormat/>
    <w:rsid w:val="00A42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BE8"/>
  </w:style>
  <w:style w:type="paragraph" w:styleId="TableofFigures">
    <w:name w:val="table of figures"/>
    <w:basedOn w:val="Normal"/>
    <w:next w:val="Normal"/>
    <w:semiHidden/>
    <w:rsid w:val="00A42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B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2BE8"/>
    <w:rPr>
      <w:rFonts w:ascii="Wingdings" w:hAnsi="Wingdings"/>
    </w:rPr>
  </w:style>
  <w:style w:type="paragraph" w:customStyle="1" w:styleId="TableHeading">
    <w:name w:val="Table Heading"/>
    <w:basedOn w:val="HeadingBase"/>
    <w:rsid w:val="00A42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BE8"/>
    <w:rPr>
      <w:color w:val="0033CC"/>
      <w:u w:val="none"/>
    </w:rPr>
  </w:style>
  <w:style w:type="paragraph" w:customStyle="1" w:styleId="BodyTextRight">
    <w:name w:val="Body Text Right"/>
    <w:basedOn w:val="BodyText"/>
    <w:rsid w:val="00A42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B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BE8"/>
    <w:rPr>
      <w:sz w:val="32"/>
    </w:rPr>
  </w:style>
  <w:style w:type="paragraph" w:customStyle="1" w:styleId="HeadingProcedure">
    <w:name w:val="Heading Procedure"/>
    <w:basedOn w:val="HeadingBase"/>
    <w:next w:val="Normal"/>
    <w:rsid w:val="00A42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BE8"/>
    <w:pPr>
      <w:spacing w:before="60" w:after="60"/>
    </w:pPr>
  </w:style>
  <w:style w:type="paragraph" w:styleId="ListContinue">
    <w:name w:val="List Continue"/>
    <w:basedOn w:val="List"/>
    <w:rsid w:val="00A42BE8"/>
    <w:pPr>
      <w:ind w:firstLine="0"/>
    </w:pPr>
  </w:style>
  <w:style w:type="paragraph" w:customStyle="1" w:styleId="ListNote">
    <w:name w:val="List Note"/>
    <w:basedOn w:val="List"/>
    <w:rsid w:val="00A42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BE8"/>
    <w:rPr>
      <w:rFonts w:ascii="Courier New" w:hAnsi="Courier New"/>
    </w:rPr>
  </w:style>
  <w:style w:type="paragraph" w:customStyle="1" w:styleId="NoteBullet">
    <w:name w:val="Note Bullet"/>
    <w:basedOn w:val="Note"/>
    <w:rsid w:val="00A42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B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BE8"/>
    <w:rPr>
      <w:b/>
      <w:smallCaps/>
    </w:rPr>
  </w:style>
  <w:style w:type="paragraph" w:customStyle="1" w:styleId="TableListNumber">
    <w:name w:val="Table List Number"/>
    <w:basedOn w:val="ListNumber"/>
    <w:rsid w:val="00A42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BE8"/>
    <w:pPr>
      <w:numPr>
        <w:numId w:val="10"/>
      </w:numPr>
    </w:pPr>
  </w:style>
  <w:style w:type="paragraph" w:customStyle="1" w:styleId="ListAlpha2">
    <w:name w:val="List Alpha 2"/>
    <w:basedOn w:val="List2"/>
    <w:rsid w:val="00A42BE8"/>
    <w:pPr>
      <w:numPr>
        <w:numId w:val="9"/>
      </w:numPr>
    </w:pPr>
  </w:style>
  <w:style w:type="paragraph" w:styleId="List2">
    <w:name w:val="List 2"/>
    <w:basedOn w:val="BodyText"/>
    <w:rsid w:val="00A42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B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2B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2BE8"/>
    <w:pPr>
      <w:numPr>
        <w:numId w:val="5"/>
      </w:numPr>
    </w:pPr>
  </w:style>
  <w:style w:type="paragraph" w:styleId="ListContinue2">
    <w:name w:val="List Continue 2"/>
    <w:basedOn w:val="List2"/>
    <w:rsid w:val="00A42BE8"/>
    <w:pPr>
      <w:ind w:firstLine="0"/>
    </w:pPr>
  </w:style>
  <w:style w:type="paragraph" w:styleId="ListContinue3">
    <w:name w:val="List Continue 3"/>
    <w:basedOn w:val="List3"/>
    <w:rsid w:val="00A42BE8"/>
    <w:pPr>
      <w:ind w:left="1021" w:firstLine="0"/>
    </w:pPr>
  </w:style>
  <w:style w:type="paragraph" w:styleId="ListContinue4">
    <w:name w:val="List Continue 4"/>
    <w:basedOn w:val="List4"/>
    <w:rsid w:val="00A42BE8"/>
    <w:pPr>
      <w:ind w:firstLine="0"/>
    </w:pPr>
  </w:style>
  <w:style w:type="paragraph" w:styleId="ListContinue5">
    <w:name w:val="List Continue 5"/>
    <w:basedOn w:val="List5"/>
    <w:rsid w:val="00A42BE8"/>
    <w:pPr>
      <w:ind w:firstLine="0"/>
    </w:pPr>
  </w:style>
  <w:style w:type="paragraph" w:styleId="ListNumber3">
    <w:name w:val="List Number 3"/>
    <w:basedOn w:val="List3"/>
    <w:rsid w:val="00A42BE8"/>
    <w:pPr>
      <w:numPr>
        <w:numId w:val="6"/>
      </w:numPr>
    </w:pPr>
  </w:style>
  <w:style w:type="paragraph" w:styleId="ListNumber4">
    <w:name w:val="List Number 4"/>
    <w:basedOn w:val="List4"/>
    <w:rsid w:val="00A42BE8"/>
    <w:pPr>
      <w:numPr>
        <w:numId w:val="7"/>
      </w:numPr>
    </w:pPr>
  </w:style>
  <w:style w:type="paragraph" w:styleId="ListNumber5">
    <w:name w:val="List Number 5"/>
    <w:basedOn w:val="List5"/>
    <w:rsid w:val="00A42BE8"/>
    <w:pPr>
      <w:numPr>
        <w:numId w:val="8"/>
      </w:numPr>
    </w:pPr>
  </w:style>
  <w:style w:type="paragraph" w:styleId="BlockText">
    <w:name w:val="Block Text"/>
    <w:basedOn w:val="Normal"/>
    <w:rsid w:val="00A42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BE8"/>
    <w:rPr>
      <w:sz w:val="16"/>
      <w:vertAlign w:val="superscript"/>
    </w:rPr>
  </w:style>
  <w:style w:type="character" w:customStyle="1" w:styleId="Symbols">
    <w:name w:val="Symbols"/>
    <w:basedOn w:val="DefaultParagraphFont"/>
    <w:rsid w:val="00A42BE8"/>
    <w:rPr>
      <w:rFonts w:ascii="Symbol" w:hAnsi="Symbol"/>
    </w:rPr>
  </w:style>
  <w:style w:type="character" w:customStyle="1" w:styleId="MenuOptions">
    <w:name w:val="Menu Options"/>
    <w:basedOn w:val="DefaultParagraphFont"/>
    <w:rsid w:val="00A42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BE8"/>
    <w:rPr>
      <w:b/>
    </w:rPr>
  </w:style>
  <w:style w:type="character" w:customStyle="1" w:styleId="Underlined">
    <w:name w:val="Underlined"/>
    <w:basedOn w:val="DefaultParagraphFont"/>
    <w:rsid w:val="00A42BE8"/>
    <w:rPr>
      <w:u w:val="single"/>
    </w:rPr>
  </w:style>
  <w:style w:type="paragraph" w:customStyle="1" w:styleId="TableBodyTextRight">
    <w:name w:val="Table Body Text Right"/>
    <w:basedOn w:val="TableBodyText"/>
    <w:rsid w:val="00A42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BE8"/>
    <w:rPr>
      <w:sz w:val="18"/>
    </w:rPr>
  </w:style>
  <w:style w:type="paragraph" w:customStyle="1" w:styleId="BodySmallRight">
    <w:name w:val="Body Small Right"/>
    <w:basedOn w:val="BodyTextRight"/>
    <w:rsid w:val="00A42BE8"/>
    <w:rPr>
      <w:sz w:val="18"/>
      <w:szCs w:val="18"/>
    </w:rPr>
  </w:style>
  <w:style w:type="paragraph" w:customStyle="1" w:styleId="MarginEdition">
    <w:name w:val="Margin Edition"/>
    <w:basedOn w:val="MarginNote"/>
    <w:rsid w:val="00A42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BE8"/>
    <w:rPr>
      <w:sz w:val="2"/>
      <w:szCs w:val="2"/>
    </w:rPr>
  </w:style>
  <w:style w:type="character" w:customStyle="1" w:styleId="Small">
    <w:name w:val="Small"/>
    <w:basedOn w:val="DefaultParagraphFont"/>
    <w:rsid w:val="00A42BE8"/>
    <w:rPr>
      <w:sz w:val="16"/>
    </w:rPr>
  </w:style>
  <w:style w:type="paragraph" w:customStyle="1" w:styleId="WideTable">
    <w:name w:val="Wide Table"/>
    <w:basedOn w:val="Normal"/>
    <w:rsid w:val="00A42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BE8"/>
  </w:style>
  <w:style w:type="paragraph" w:styleId="Quote">
    <w:name w:val="Quote"/>
    <w:basedOn w:val="Heading1"/>
    <w:link w:val="QuoteChar"/>
    <w:qFormat/>
    <w:rsid w:val="00A42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BE8"/>
    <w:pPr>
      <w:pageBreakBefore/>
    </w:pPr>
  </w:style>
  <w:style w:type="paragraph" w:customStyle="1" w:styleId="Border">
    <w:name w:val="Border"/>
    <w:basedOn w:val="Normal"/>
    <w:qFormat/>
    <w:rsid w:val="00A42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BE8"/>
    <w:rPr>
      <w:u w:val="single"/>
    </w:rPr>
  </w:style>
  <w:style w:type="character" w:customStyle="1" w:styleId="BoldandItalics">
    <w:name w:val="Bold and Italics"/>
    <w:qFormat/>
    <w:rsid w:val="00A42BE8"/>
    <w:rPr>
      <w:b/>
      <w:i/>
      <w:u w:val="none"/>
    </w:rPr>
  </w:style>
  <w:style w:type="paragraph" w:styleId="BalloonText">
    <w:name w:val="Balloon Text"/>
    <w:basedOn w:val="Normal"/>
    <w:link w:val="BalloonTextChar"/>
    <w:rsid w:val="00A4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BE8"/>
    <w:pPr>
      <w:spacing w:before="0" w:after="0"/>
    </w:pPr>
  </w:style>
  <w:style w:type="paragraph" w:customStyle="1" w:styleId="BodyTextBold">
    <w:name w:val="Body Text Bold"/>
    <w:basedOn w:val="BodyText"/>
    <w:qFormat/>
    <w:rsid w:val="00A42BE8"/>
    <w:rPr>
      <w:b/>
    </w:rPr>
  </w:style>
  <w:style w:type="character" w:styleId="Hyperlink">
    <w:name w:val="Hyperlink"/>
    <w:basedOn w:val="DefaultParagraphFont"/>
    <w:uiPriority w:val="99"/>
    <w:unhideWhenUsed/>
    <w:rsid w:val="00314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3672</Characters>
  <Application>Microsoft Office Word</Application>
  <DocSecurity>0</DocSecurity>
  <Lines>102</Lines>
  <Paragraphs>76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AURETA005 Analyse and evaluate electrical and electronic faults in theft-deterrent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2022-07-07T06:13:00Z</dcterms:created>
  <dcterms:modified xsi:type="dcterms:W3CDTF">2022-07-07T06:13:00Z</dcterms:modified>
</cp:coreProperties>
</file>