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5FB" w:rsidP="007A6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AURBTR001 Service electric power-assisted bicycles</w:t>
      </w:r>
      <w:r>
        <w:fldChar w:fldCharType="end"/>
      </w:r>
    </w:p>
    <w:p w:rsidR="007A65FB" w:rsidP="007A65FB">
      <w:pPr>
        <w:pStyle w:val="Version"/>
        <w:sectPr w:rsidSect="00C66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7EA" w:rsidP="00C667EA">
      <w:pPr>
        <w:pStyle w:val="SuperHeading"/>
      </w:pPr>
      <w:r w:rsidRPr="00C667EA">
        <w:t>Assessment Requirements for AURBTR001 Service electric power-assisted bicycles</w:t>
      </w:r>
    </w:p>
    <w:p w:rsidR="00000000" w:rsidRPr="00C667EA" w:rsidP="00C667EA">
      <w:pPr>
        <w:pStyle w:val="Heading1"/>
      </w:pPr>
      <w:bookmarkStart w:id="1" w:name="O_775720"/>
      <w:bookmarkEnd w:id="1"/>
      <w:r w:rsidRPr="00C667E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A65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7EA" w:rsidP="00C667EA">
            <w:pPr>
              <w:pStyle w:val="BodyText"/>
            </w:pPr>
            <w:r w:rsidRPr="00C667E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7EA">
            <w:pPr>
              <w:pStyle w:val="BodyText"/>
              <w:rPr>
                <w:lang w:val="en-NZ"/>
              </w:rPr>
            </w:pPr>
            <w:r w:rsidRPr="00C667EA">
              <w:rPr>
                <w:rStyle w:val="SpecialBold"/>
              </w:rPr>
              <w:t>Comment</w:t>
            </w:r>
          </w:p>
        </w:tc>
      </w:tr>
      <w:tr w:rsidTr="007A65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7EA">
            <w:pPr>
              <w:pStyle w:val="BodyText"/>
              <w:rPr>
                <w:lang w:val="en-NZ"/>
              </w:rPr>
            </w:pPr>
            <w:r w:rsidRPr="00C667E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7EA" w:rsidP="00C667EA">
            <w:pPr>
              <w:pStyle w:val="BodyText"/>
            </w:pPr>
            <w:r w:rsidRPr="00C667EA">
              <w:t>New unit of competency.</w:t>
            </w:r>
          </w:p>
        </w:tc>
      </w:tr>
    </w:tbl>
    <w:p w:rsidR="00000000" w:rsidRPr="00C667EA" w:rsidP="00C667EA">
      <w:pPr>
        <w:pStyle w:val="BodyText"/>
      </w:pPr>
    </w:p>
    <w:p w:rsidR="00000000" w:rsidRPr="00C667EA" w:rsidP="00C667EA">
      <w:pPr>
        <w:pStyle w:val="AllowPageBreak"/>
      </w:pPr>
    </w:p>
    <w:p w:rsidR="00000000" w:rsidRPr="00C667EA" w:rsidP="00C667EA">
      <w:pPr>
        <w:pStyle w:val="Heading1"/>
      </w:pPr>
      <w:bookmarkStart w:id="2" w:name="O_775721"/>
      <w:bookmarkEnd w:id="2"/>
      <w:r w:rsidRPr="00C667EA">
        <w:t>Performance Evidence</w:t>
      </w:r>
    </w:p>
    <w:p w:rsidR="00000000" w:rsidRPr="00C667EA" w:rsidP="007A65FB">
      <w:pPr>
        <w:pStyle w:val="BodyText"/>
      </w:pPr>
      <w:r w:rsidRPr="00C667E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667EA" w:rsidP="00C667EA">
      <w:pPr>
        <w:pStyle w:val="ListBullet"/>
      </w:pPr>
      <w:r w:rsidRPr="00C667EA">
        <w:t>service three different electric p</w:t>
      </w:r>
      <w:r w:rsidRPr="00C667EA">
        <w:t>ower-assisted bicycles, in which the work involves:</w:t>
      </w:r>
    </w:p>
    <w:p w:rsidR="00000000" w:rsidRPr="00C667EA" w:rsidP="00C667EA">
      <w:pPr>
        <w:pStyle w:val="ListBullet2"/>
      </w:pPr>
      <w:r w:rsidRPr="00C667EA">
        <w:t>battery testing and charging</w:t>
      </w:r>
    </w:p>
    <w:p w:rsidR="00000000" w:rsidRPr="00C667EA" w:rsidP="00C667EA">
      <w:pPr>
        <w:pStyle w:val="ListBullet2"/>
      </w:pPr>
      <w:r w:rsidRPr="00C667EA">
        <w:t>checking operation of controller</w:t>
      </w:r>
    </w:p>
    <w:p w:rsidR="00000000" w:rsidRPr="00C667EA" w:rsidP="00C667EA">
      <w:pPr>
        <w:pStyle w:val="ListBullet2"/>
      </w:pPr>
      <w:r w:rsidRPr="00C667EA">
        <w:t>checking wiring</w:t>
      </w:r>
    </w:p>
    <w:p w:rsidR="00000000" w:rsidRPr="00C667EA" w:rsidP="00C667EA">
      <w:pPr>
        <w:pStyle w:val="ListBullet2"/>
      </w:pPr>
      <w:r w:rsidRPr="00C667EA">
        <w:t xml:space="preserve">checking connectors at motor plug </w:t>
      </w:r>
    </w:p>
    <w:p w:rsidR="00000000" w:rsidRPr="00C667EA" w:rsidP="00C667EA">
      <w:pPr>
        <w:pStyle w:val="ListBullet2"/>
      </w:pPr>
      <w:r w:rsidRPr="00C667EA">
        <w:t>testing brake cut-outs, throttle and pedal assist sensor (PAS).</w:t>
      </w:r>
    </w:p>
    <w:p w:rsidR="00000000" w:rsidRPr="00C667EA" w:rsidP="00C667EA">
      <w:pPr>
        <w:pStyle w:val="AllowPageBreak"/>
      </w:pPr>
    </w:p>
    <w:p w:rsidR="00000000" w:rsidRPr="00C667EA" w:rsidP="00C667EA">
      <w:pPr>
        <w:pStyle w:val="Heading1"/>
      </w:pPr>
      <w:bookmarkStart w:id="3" w:name="O_775722"/>
      <w:bookmarkEnd w:id="3"/>
      <w:r w:rsidRPr="00C667EA">
        <w:t>Knowledge Evidence</w:t>
      </w:r>
    </w:p>
    <w:p w:rsidR="00000000" w:rsidRPr="00C667EA" w:rsidP="007A65FB">
      <w:pPr>
        <w:pStyle w:val="BodyText"/>
      </w:pPr>
      <w:r w:rsidRPr="00C667EA">
        <w:t>Individuals must be able to demonstrate knowledge of:</w:t>
      </w:r>
    </w:p>
    <w:p w:rsidR="00000000" w:rsidRPr="00C667EA" w:rsidP="00C667EA">
      <w:pPr>
        <w:pStyle w:val="ListBullet"/>
      </w:pPr>
      <w:r w:rsidRPr="00C667EA">
        <w:t>work health and safety (WHS) and occupational health and safety (OHS) requirements relating to servicing electric power-assisted bicycles, including procedures for:</w:t>
      </w:r>
    </w:p>
    <w:p w:rsidR="00000000" w:rsidRPr="00C667EA" w:rsidP="00C667EA">
      <w:pPr>
        <w:pStyle w:val="ListBullet2"/>
      </w:pPr>
      <w:r w:rsidRPr="00C667EA">
        <w:t>manually handlin</w:t>
      </w:r>
      <w:r w:rsidRPr="00C667EA">
        <w:t>g bicycles</w:t>
      </w:r>
    </w:p>
    <w:p w:rsidR="00000000" w:rsidRPr="00C667EA" w:rsidP="00C667EA">
      <w:pPr>
        <w:pStyle w:val="ListBullet2"/>
      </w:pPr>
      <w:r w:rsidRPr="00C667EA">
        <w:t>identifying workplace hazards</w:t>
      </w:r>
    </w:p>
    <w:p w:rsidR="00000000" w:rsidRPr="00C667EA" w:rsidP="00C667EA">
      <w:pPr>
        <w:pStyle w:val="ListBullet2"/>
      </w:pPr>
      <w:r w:rsidRPr="00C667EA">
        <w:t>using tools and equipment, including personal protective equipment (PPE)</w:t>
      </w:r>
    </w:p>
    <w:p w:rsidR="00000000" w:rsidRPr="00C667EA" w:rsidP="00C667EA">
      <w:pPr>
        <w:pStyle w:val="ListBullet"/>
      </w:pPr>
      <w:r w:rsidRPr="00C667EA">
        <w:t>environmental requirements, including procedures for disposing of waste materials</w:t>
      </w:r>
    </w:p>
    <w:p w:rsidR="00000000" w:rsidRPr="00C667EA" w:rsidP="00C667EA">
      <w:pPr>
        <w:pStyle w:val="ListBullet"/>
      </w:pPr>
      <w:r w:rsidRPr="00C667EA">
        <w:t>electric power-assisted bicycle terminology</w:t>
      </w:r>
    </w:p>
    <w:p w:rsidR="00000000" w:rsidRPr="00C667EA" w:rsidP="00C667EA">
      <w:pPr>
        <w:pStyle w:val="ListBullet"/>
      </w:pPr>
      <w:r w:rsidRPr="00C667EA">
        <w:t>operating principles of electric power-assisted bicycles, including:</w:t>
      </w:r>
    </w:p>
    <w:p w:rsidR="00000000" w:rsidRPr="00C667EA" w:rsidP="00C667EA">
      <w:pPr>
        <w:pStyle w:val="ListBullet2"/>
      </w:pPr>
      <w:r w:rsidRPr="00C667EA">
        <w:t>throttle response</w:t>
      </w:r>
    </w:p>
    <w:p w:rsidR="00000000" w:rsidRPr="00C667EA" w:rsidP="00C667EA">
      <w:pPr>
        <w:pStyle w:val="ListBullet2"/>
      </w:pPr>
      <w:r w:rsidRPr="00C667EA">
        <w:t>power and performance</w:t>
      </w:r>
    </w:p>
    <w:p w:rsidR="00000000" w:rsidRPr="00C667EA" w:rsidP="00C667EA">
      <w:pPr>
        <w:pStyle w:val="ListBullet2"/>
      </w:pPr>
      <w:r w:rsidRPr="00C667EA">
        <w:t>pedal assist function</w:t>
      </w:r>
    </w:p>
    <w:p w:rsidR="00000000" w:rsidRPr="00C667EA" w:rsidP="00C667EA">
      <w:pPr>
        <w:pStyle w:val="ListBullet2"/>
      </w:pPr>
      <w:r w:rsidRPr="00C667EA">
        <w:t>throttle function</w:t>
      </w:r>
    </w:p>
    <w:p w:rsidR="00000000" w:rsidRPr="00C667EA" w:rsidP="00C667EA">
      <w:pPr>
        <w:pStyle w:val="ListBullet"/>
      </w:pPr>
      <w:r w:rsidRPr="00C667EA">
        <w:t>function of electric power-assisted bicycle components specified in the range of conditions</w:t>
      </w:r>
    </w:p>
    <w:p w:rsidR="00000000" w:rsidRPr="00C667EA" w:rsidP="00C667EA">
      <w:pPr>
        <w:pStyle w:val="ListBullet"/>
      </w:pPr>
      <w:r w:rsidRPr="00C667EA">
        <w:t>types and use</w:t>
      </w:r>
      <w:r w:rsidRPr="00C667EA">
        <w:t xml:space="preserve"> of tools and equipment used to service electric power-assisted bicycles</w:t>
      </w:r>
    </w:p>
    <w:p w:rsidR="00000000" w:rsidRPr="00C667EA" w:rsidP="00C667EA">
      <w:pPr>
        <w:pStyle w:val="ListBullet"/>
      </w:pPr>
      <w:r w:rsidRPr="00C667EA">
        <w:t>techniques and processes for servicing electric power-assisted bicycles, including:</w:t>
      </w:r>
    </w:p>
    <w:p w:rsidR="00000000" w:rsidRPr="00C667EA" w:rsidP="00C667EA">
      <w:pPr>
        <w:pStyle w:val="ListBullet2"/>
      </w:pPr>
      <w:r w:rsidRPr="00C667EA">
        <w:t>identification of electric power-assisted bicycle components and specifications</w:t>
      </w:r>
    </w:p>
    <w:p w:rsidR="00000000" w:rsidRPr="00C667EA" w:rsidP="00C667EA">
      <w:pPr>
        <w:pStyle w:val="ListBullet2"/>
      </w:pPr>
      <w:r w:rsidRPr="00C667EA">
        <w:t>fault identificati</w:t>
      </w:r>
      <w:r w:rsidRPr="00C667EA">
        <w:t xml:space="preserve">on </w:t>
      </w:r>
    </w:p>
    <w:p w:rsidR="00000000" w:rsidRPr="00C667EA" w:rsidP="00C667EA">
      <w:pPr>
        <w:pStyle w:val="ListBullet2"/>
      </w:pPr>
      <w:r w:rsidRPr="00C667EA">
        <w:t>bicycle measuring techniques</w:t>
      </w:r>
    </w:p>
    <w:p w:rsidR="00000000" w:rsidRPr="00C667EA" w:rsidP="00C667EA">
      <w:pPr>
        <w:pStyle w:val="ListBullet2"/>
      </w:pPr>
      <w:r w:rsidRPr="00C667EA">
        <w:t>adjustment techniques</w:t>
      </w:r>
    </w:p>
    <w:p w:rsidR="00000000" w:rsidRPr="00C667EA" w:rsidP="00C667EA">
      <w:pPr>
        <w:pStyle w:val="ListBullet2"/>
      </w:pPr>
      <w:r w:rsidRPr="00C667EA">
        <w:t>testing procedures</w:t>
      </w:r>
    </w:p>
    <w:p w:rsidR="00000000" w:rsidRPr="00C667EA" w:rsidP="00C667EA">
      <w:pPr>
        <w:pStyle w:val="ListBullet"/>
      </w:pPr>
      <w:r w:rsidRPr="00C667EA">
        <w:t>servicing options, including:</w:t>
      </w:r>
    </w:p>
    <w:p w:rsidR="00000000" w:rsidRPr="00C667EA" w:rsidP="00C667EA">
      <w:pPr>
        <w:pStyle w:val="ListBullet2"/>
      </w:pPr>
      <w:r w:rsidRPr="00C667EA">
        <w:t>on- and off-site servicing</w:t>
      </w:r>
    </w:p>
    <w:p w:rsidR="00000000" w:rsidRPr="00C667EA" w:rsidP="00C667EA">
      <w:pPr>
        <w:pStyle w:val="ListBullet2"/>
      </w:pPr>
      <w:r w:rsidRPr="00C667EA">
        <w:t xml:space="preserve">servicing and adjusting components </w:t>
      </w:r>
    </w:p>
    <w:p w:rsidR="00000000" w:rsidRPr="00C667EA" w:rsidP="00C667EA">
      <w:pPr>
        <w:pStyle w:val="ListBullet2"/>
      </w:pPr>
      <w:r w:rsidRPr="00C667EA">
        <w:t>upgrading components.</w:t>
      </w:r>
    </w:p>
    <w:p w:rsidR="00000000" w:rsidRPr="00C667EA" w:rsidP="00C667EA">
      <w:pPr>
        <w:pStyle w:val="AllowPageBreak"/>
      </w:pPr>
    </w:p>
    <w:p w:rsidR="00000000" w:rsidRPr="00C667EA" w:rsidP="00C667EA">
      <w:pPr>
        <w:pStyle w:val="Heading1"/>
      </w:pPr>
      <w:bookmarkStart w:id="4" w:name="O_775723"/>
      <w:bookmarkEnd w:id="4"/>
      <w:r w:rsidRPr="00C667EA">
        <w:t>Assessment Conditions</w:t>
      </w:r>
    </w:p>
    <w:p w:rsidR="00000000" w:rsidRPr="00C667EA" w:rsidP="007A65FB">
      <w:pPr>
        <w:pStyle w:val="BodyText"/>
      </w:pPr>
      <w:r w:rsidRPr="00C667EA">
        <w:t>Assessors must satisfy NVR/AQTF assessor requirements.</w:t>
      </w:r>
    </w:p>
    <w:p w:rsidR="00000000" w:rsidRPr="00C667EA" w:rsidP="007A65FB">
      <w:pPr>
        <w:pStyle w:val="BodyText"/>
      </w:pPr>
      <w:r w:rsidRPr="00C667EA">
        <w:t>Competency is to be assessed in the workplace or a simulated environment that accurately reflects performance in a real workplace setting.</w:t>
      </w:r>
    </w:p>
    <w:p w:rsidR="00000000" w:rsidRPr="00C667EA" w:rsidP="007A65FB">
      <w:pPr>
        <w:pStyle w:val="BodyText"/>
      </w:pPr>
      <w:r w:rsidRPr="00C667EA">
        <w:t>Assessment must include direct observation of tasks.</w:t>
      </w:r>
    </w:p>
    <w:p w:rsidR="00000000" w:rsidRPr="00C667EA" w:rsidP="007A65FB">
      <w:pPr>
        <w:pStyle w:val="BodyText"/>
      </w:pPr>
      <w:r w:rsidRPr="00C667EA">
        <w:t xml:space="preserve">Where </w:t>
      </w:r>
      <w:r w:rsidRPr="00C667EA">
        <w:t>assessment of competency includes third-party evidence, individuals must provide evidence that links them to the electric power-assisted bicycles that they have serviced, e.g. service orders.</w:t>
      </w:r>
    </w:p>
    <w:p w:rsidR="00000000" w:rsidRPr="00C667EA" w:rsidP="007A65FB">
      <w:pPr>
        <w:pStyle w:val="BodyText"/>
      </w:pPr>
      <w:r w:rsidRPr="00C667EA">
        <w:t xml:space="preserve">Assessors must verify performance evidence through questioning </w:t>
      </w:r>
      <w:r w:rsidRPr="00C667EA">
        <w:t>on skills and knowledge to ensure correct interpretation and application.</w:t>
      </w:r>
    </w:p>
    <w:p w:rsidR="00000000" w:rsidRPr="00C667EA" w:rsidP="007A65FB">
      <w:pPr>
        <w:pStyle w:val="BodyText"/>
      </w:pPr>
      <w:r w:rsidRPr="00C667EA">
        <w:t>The following resources must be made available:</w:t>
      </w:r>
    </w:p>
    <w:p w:rsidR="00000000" w:rsidRPr="00C667EA" w:rsidP="00C667EA">
      <w:pPr>
        <w:pStyle w:val="ListBullet"/>
      </w:pPr>
      <w:r w:rsidRPr="00C667EA">
        <w:t xml:space="preserve">bicycle workplace or simulated workplace, including location to test bicycles </w:t>
      </w:r>
    </w:p>
    <w:p w:rsidR="00000000" w:rsidRPr="00C667EA" w:rsidP="00C667EA">
      <w:pPr>
        <w:pStyle w:val="ListBullet"/>
      </w:pPr>
      <w:r w:rsidRPr="00C667EA">
        <w:t>workplace instructions detailing job requirements</w:t>
      </w:r>
    </w:p>
    <w:p w:rsidR="00000000" w:rsidRPr="00C667EA" w:rsidP="00C667EA">
      <w:pPr>
        <w:pStyle w:val="ListBullet"/>
      </w:pPr>
      <w:r w:rsidRPr="00C667EA">
        <w:t>workplace procedures relating to the service of electric power-assisted bicycles</w:t>
      </w:r>
    </w:p>
    <w:p w:rsidR="00000000" w:rsidRPr="00C667EA" w:rsidP="00C667EA">
      <w:pPr>
        <w:pStyle w:val="ListBullet"/>
      </w:pPr>
      <w:r w:rsidRPr="00C667EA">
        <w:t>electric power-assisted bicycle manufacturer specifications</w:t>
      </w:r>
    </w:p>
    <w:p w:rsidR="00000000" w:rsidRPr="00C667EA" w:rsidP="00C667EA">
      <w:pPr>
        <w:pStyle w:val="ListBullet"/>
      </w:pPr>
      <w:r w:rsidRPr="00C667EA">
        <w:t>PPE required to service electric power-assisted bicycles</w:t>
      </w:r>
    </w:p>
    <w:p w:rsidR="00000000" w:rsidRPr="00C667EA" w:rsidP="00C667EA">
      <w:pPr>
        <w:pStyle w:val="ListBullet"/>
      </w:pPr>
      <w:r w:rsidRPr="00C667EA">
        <w:t>three different electric power-assisted bicycles requiring</w:t>
      </w:r>
      <w:r w:rsidRPr="00C667EA">
        <w:t xml:space="preserve"> service and maintenance </w:t>
      </w:r>
    </w:p>
    <w:p w:rsidR="00000000" w:rsidRPr="00C667EA" w:rsidP="00C667EA">
      <w:pPr>
        <w:pStyle w:val="ListBullet"/>
      </w:pPr>
      <w:r w:rsidRPr="00C667EA">
        <w:t>tools and equipment appropriate for servicing electric power-assisted bicycles.</w:t>
      </w:r>
    </w:p>
    <w:p w:rsidR="00000000" w:rsidRPr="00C667EA" w:rsidP="00C667EA">
      <w:pPr>
        <w:pStyle w:val="AllowPageBreak"/>
      </w:pPr>
    </w:p>
    <w:p w:rsidR="00000000" w:rsidRPr="00C667EA" w:rsidP="00C667EA">
      <w:pPr>
        <w:pStyle w:val="Heading1"/>
      </w:pPr>
      <w:bookmarkStart w:id="5" w:name="O_775726"/>
      <w:bookmarkEnd w:id="5"/>
      <w:r w:rsidRPr="00C667EA">
        <w:t>Links</w:t>
      </w:r>
    </w:p>
    <w:p w:rsidR="00000000" w:rsidRPr="00C667EA" w:rsidP="007A65FB">
      <w:pPr>
        <w:pStyle w:val="BodyText"/>
      </w:pPr>
      <w:r w:rsidRPr="00C667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958B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667EA" w:rsidP="007A65FB">
      <w:pPr>
        <w:pStyle w:val="BodyText"/>
      </w:pPr>
      <w:r w:rsidRPr="00C667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958B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667EA" w:rsidP="00C667EA"/>
    <w:sectPr w:rsidSect="00C667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EA" w:rsidRPr="007A65FB" w:rsidP="007A6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FB" w:rsidP="00C66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65FB" w:rsidP="00C66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65FB" w:rsidP="00C66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7EA" w:rsidRPr="007A65FB" w:rsidP="007A6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FB" w:rsidRPr="002D2AF8" w:rsidP="00C66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AURBTR001 Service electric power-assisted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A65FB" w:rsidP="00C66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2CE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987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162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7EA"/>
  </w:style>
  <w:style w:type="character" w:customStyle="1" w:styleId="Heading1Char">
    <w:name w:val="Heading 1 Char"/>
    <w:basedOn w:val="DefaultParagraphFont"/>
    <w:link w:val="Heading1"/>
    <w:rsid w:val="00C66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7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7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7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7EA"/>
    <w:rPr>
      <w:b/>
      <w:spacing w:val="0"/>
    </w:rPr>
  </w:style>
  <w:style w:type="paragraph" w:styleId="ListBullet2">
    <w:name w:val="List Bullet 2"/>
    <w:basedOn w:val="List2"/>
    <w:rsid w:val="00C667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6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7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7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7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67EA"/>
    <w:rPr>
      <w:i/>
    </w:rPr>
  </w:style>
  <w:style w:type="paragraph" w:styleId="Caption">
    <w:name w:val="caption"/>
    <w:basedOn w:val="BodyText"/>
    <w:next w:val="Normal"/>
    <w:qFormat/>
    <w:rsid w:val="00C66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7EA"/>
  </w:style>
  <w:style w:type="paragraph" w:styleId="TableofFigures">
    <w:name w:val="table of figures"/>
    <w:basedOn w:val="Normal"/>
    <w:next w:val="Normal"/>
    <w:semiHidden/>
    <w:rsid w:val="00C66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7EA"/>
    <w:pPr>
      <w:numPr>
        <w:numId w:val="11"/>
      </w:numPr>
    </w:pPr>
  </w:style>
  <w:style w:type="character" w:customStyle="1" w:styleId="WingdingSymbols">
    <w:name w:val="Wingding Symbols"/>
    <w:rsid w:val="00C667EA"/>
    <w:rPr>
      <w:rFonts w:ascii="Wingdings" w:hAnsi="Wingdings"/>
    </w:rPr>
  </w:style>
  <w:style w:type="paragraph" w:customStyle="1" w:styleId="TableHeading">
    <w:name w:val="Table Heading"/>
    <w:basedOn w:val="HeadingBase"/>
    <w:rsid w:val="00C66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7EA"/>
    <w:rPr>
      <w:color w:val="0033CC"/>
      <w:u w:val="none"/>
    </w:rPr>
  </w:style>
  <w:style w:type="paragraph" w:customStyle="1" w:styleId="BodyTextRight">
    <w:name w:val="Body Text Right"/>
    <w:basedOn w:val="BodyText"/>
    <w:rsid w:val="00C66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7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7EA"/>
    <w:rPr>
      <w:sz w:val="32"/>
    </w:rPr>
  </w:style>
  <w:style w:type="paragraph" w:customStyle="1" w:styleId="HeadingProcedure">
    <w:name w:val="Heading Procedure"/>
    <w:basedOn w:val="HeadingBase"/>
    <w:next w:val="Normal"/>
    <w:rsid w:val="00C66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7EA"/>
    <w:pPr>
      <w:spacing w:before="60" w:after="60"/>
    </w:pPr>
  </w:style>
  <w:style w:type="paragraph" w:styleId="ListContinue">
    <w:name w:val="List Continue"/>
    <w:basedOn w:val="List"/>
    <w:rsid w:val="00C667EA"/>
    <w:pPr>
      <w:ind w:firstLine="0"/>
    </w:pPr>
  </w:style>
  <w:style w:type="paragraph" w:customStyle="1" w:styleId="ListNote">
    <w:name w:val="List Note"/>
    <w:basedOn w:val="List"/>
    <w:rsid w:val="00C66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7EA"/>
    <w:rPr>
      <w:rFonts w:ascii="Courier New" w:hAnsi="Courier New"/>
    </w:rPr>
  </w:style>
  <w:style w:type="paragraph" w:customStyle="1" w:styleId="NoteBullet">
    <w:name w:val="Note Bullet"/>
    <w:basedOn w:val="Note"/>
    <w:rsid w:val="00C66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7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6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7EA"/>
    <w:rPr>
      <w:b/>
      <w:smallCaps/>
    </w:rPr>
  </w:style>
  <w:style w:type="paragraph" w:customStyle="1" w:styleId="TableListNumber">
    <w:name w:val="Table List Number"/>
    <w:basedOn w:val="ListNumber"/>
    <w:rsid w:val="00C66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7EA"/>
    <w:pPr>
      <w:numPr>
        <w:numId w:val="9"/>
      </w:numPr>
    </w:pPr>
  </w:style>
  <w:style w:type="paragraph" w:customStyle="1" w:styleId="ListAlpha2">
    <w:name w:val="List Alpha 2"/>
    <w:basedOn w:val="List2"/>
    <w:rsid w:val="00C667EA"/>
    <w:pPr>
      <w:numPr>
        <w:numId w:val="8"/>
      </w:numPr>
    </w:pPr>
  </w:style>
  <w:style w:type="paragraph" w:styleId="List2">
    <w:name w:val="List 2"/>
    <w:basedOn w:val="BodyText"/>
    <w:rsid w:val="00C667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7E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7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67EA"/>
    <w:pPr>
      <w:numPr>
        <w:numId w:val="4"/>
      </w:numPr>
    </w:pPr>
  </w:style>
  <w:style w:type="paragraph" w:styleId="ListContinue2">
    <w:name w:val="List Continue 2"/>
    <w:basedOn w:val="List2"/>
    <w:rsid w:val="00C667EA"/>
    <w:pPr>
      <w:ind w:firstLine="0"/>
    </w:pPr>
  </w:style>
  <w:style w:type="paragraph" w:styleId="ListContinue3">
    <w:name w:val="List Continue 3"/>
    <w:basedOn w:val="List3"/>
    <w:rsid w:val="00C667EA"/>
    <w:pPr>
      <w:ind w:left="1021" w:firstLine="0"/>
    </w:pPr>
  </w:style>
  <w:style w:type="paragraph" w:styleId="ListContinue4">
    <w:name w:val="List Continue 4"/>
    <w:basedOn w:val="List4"/>
    <w:rsid w:val="00C667EA"/>
    <w:pPr>
      <w:ind w:firstLine="0"/>
    </w:pPr>
  </w:style>
  <w:style w:type="paragraph" w:styleId="ListContinue5">
    <w:name w:val="List Continue 5"/>
    <w:basedOn w:val="List5"/>
    <w:rsid w:val="00C667EA"/>
    <w:pPr>
      <w:ind w:firstLine="0"/>
    </w:pPr>
  </w:style>
  <w:style w:type="paragraph" w:styleId="ListNumber3">
    <w:name w:val="List Number 3"/>
    <w:basedOn w:val="List3"/>
    <w:rsid w:val="00C667EA"/>
    <w:pPr>
      <w:numPr>
        <w:numId w:val="5"/>
      </w:numPr>
    </w:pPr>
  </w:style>
  <w:style w:type="paragraph" w:styleId="ListNumber4">
    <w:name w:val="List Number 4"/>
    <w:basedOn w:val="List4"/>
    <w:rsid w:val="00C667EA"/>
    <w:pPr>
      <w:numPr>
        <w:numId w:val="6"/>
      </w:numPr>
    </w:pPr>
  </w:style>
  <w:style w:type="paragraph" w:styleId="ListNumber5">
    <w:name w:val="List Number 5"/>
    <w:basedOn w:val="List5"/>
    <w:rsid w:val="00C667EA"/>
    <w:pPr>
      <w:numPr>
        <w:numId w:val="7"/>
      </w:numPr>
    </w:pPr>
  </w:style>
  <w:style w:type="paragraph" w:styleId="BlockText">
    <w:name w:val="Block Text"/>
    <w:basedOn w:val="Normal"/>
    <w:rsid w:val="00C66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7EA"/>
    <w:rPr>
      <w:sz w:val="16"/>
      <w:vertAlign w:val="superscript"/>
    </w:rPr>
  </w:style>
  <w:style w:type="character" w:customStyle="1" w:styleId="Symbols">
    <w:name w:val="Symbols"/>
    <w:basedOn w:val="DefaultParagraphFont"/>
    <w:rsid w:val="00C667EA"/>
    <w:rPr>
      <w:rFonts w:ascii="Symbol" w:hAnsi="Symbol"/>
    </w:rPr>
  </w:style>
  <w:style w:type="character" w:customStyle="1" w:styleId="MenuOptions">
    <w:name w:val="Menu Options"/>
    <w:basedOn w:val="DefaultParagraphFont"/>
    <w:rsid w:val="00C66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7EA"/>
    <w:rPr>
      <w:b/>
    </w:rPr>
  </w:style>
  <w:style w:type="character" w:customStyle="1" w:styleId="Underlined">
    <w:name w:val="Underlined"/>
    <w:basedOn w:val="DefaultParagraphFont"/>
    <w:rsid w:val="00C667EA"/>
    <w:rPr>
      <w:u w:val="single"/>
    </w:rPr>
  </w:style>
  <w:style w:type="paragraph" w:customStyle="1" w:styleId="TableBodyTextRight">
    <w:name w:val="Table Body Text Right"/>
    <w:basedOn w:val="TableBodyText"/>
    <w:rsid w:val="00C66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7EA"/>
    <w:rPr>
      <w:sz w:val="18"/>
    </w:rPr>
  </w:style>
  <w:style w:type="paragraph" w:customStyle="1" w:styleId="BodySmallRight">
    <w:name w:val="Body Small Right"/>
    <w:basedOn w:val="BodyTextRight"/>
    <w:rsid w:val="00C667EA"/>
    <w:rPr>
      <w:sz w:val="18"/>
      <w:szCs w:val="18"/>
    </w:rPr>
  </w:style>
  <w:style w:type="paragraph" w:customStyle="1" w:styleId="MarginEdition">
    <w:name w:val="Margin Edition"/>
    <w:basedOn w:val="MarginNote"/>
    <w:rsid w:val="00C66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7EA"/>
    <w:rPr>
      <w:sz w:val="2"/>
      <w:szCs w:val="2"/>
    </w:rPr>
  </w:style>
  <w:style w:type="character" w:customStyle="1" w:styleId="Small">
    <w:name w:val="Small"/>
    <w:basedOn w:val="DefaultParagraphFont"/>
    <w:rsid w:val="00C667EA"/>
    <w:rPr>
      <w:sz w:val="16"/>
    </w:rPr>
  </w:style>
  <w:style w:type="paragraph" w:customStyle="1" w:styleId="WideTable">
    <w:name w:val="Wide Table"/>
    <w:basedOn w:val="Normal"/>
    <w:rsid w:val="00C66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7EA"/>
  </w:style>
  <w:style w:type="paragraph" w:styleId="Quote">
    <w:name w:val="Quote"/>
    <w:basedOn w:val="Heading1"/>
    <w:link w:val="QuoteChar"/>
    <w:qFormat/>
    <w:rsid w:val="00C66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7EA"/>
    <w:pPr>
      <w:pageBreakBefore/>
    </w:pPr>
  </w:style>
  <w:style w:type="paragraph" w:customStyle="1" w:styleId="Border">
    <w:name w:val="Border"/>
    <w:basedOn w:val="Normal"/>
    <w:qFormat/>
    <w:rsid w:val="00C66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7EA"/>
    <w:rPr>
      <w:u w:val="single"/>
    </w:rPr>
  </w:style>
  <w:style w:type="character" w:customStyle="1" w:styleId="BoldandItalics">
    <w:name w:val="Bold and Italics"/>
    <w:qFormat/>
    <w:rsid w:val="00C667EA"/>
    <w:rPr>
      <w:b/>
      <w:i/>
      <w:u w:val="none"/>
    </w:rPr>
  </w:style>
  <w:style w:type="paragraph" w:styleId="BalloonText">
    <w:name w:val="Balloon Text"/>
    <w:basedOn w:val="Normal"/>
    <w:link w:val="BalloonTextChar"/>
    <w:rsid w:val="00C66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7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7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7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6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3269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AURBTR001 Service electric power-assisted bicycles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2018-12-07T00:58:00Z</dcterms:created>
  <dcterms:modified xsi:type="dcterms:W3CDTF">2018-12-07T00:58:00Z</dcterms:modified>
</cp:coreProperties>
</file>