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488" w:rsidP="001034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AURBTQ001 Service bicycle drivetrain systems</w:t>
      </w:r>
      <w:r>
        <w:fldChar w:fldCharType="end"/>
      </w:r>
    </w:p>
    <w:p w:rsidR="00103488" w:rsidP="00103488">
      <w:pPr>
        <w:pStyle w:val="Version"/>
        <w:sectPr w:rsidSect="00911F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1FEB" w:rsidP="00911FEB">
      <w:pPr>
        <w:pStyle w:val="SuperHeading"/>
      </w:pPr>
      <w:r w:rsidRPr="00911FEB">
        <w:t>Assessment Requirements for AURBTQ001 Service bicycle drivetrain systems</w:t>
      </w:r>
    </w:p>
    <w:p w:rsidR="00000000" w:rsidRPr="00911FEB" w:rsidP="00911FEB">
      <w:pPr>
        <w:pStyle w:val="Heading1"/>
      </w:pPr>
      <w:bookmarkStart w:id="1" w:name="O_775682"/>
      <w:bookmarkEnd w:id="1"/>
      <w:r w:rsidRPr="00911FE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034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FEB" w:rsidP="00911FEB">
            <w:pPr>
              <w:pStyle w:val="BodyText"/>
            </w:pPr>
            <w:r w:rsidRPr="00911FE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FEB">
            <w:pPr>
              <w:pStyle w:val="BodyText"/>
              <w:rPr>
                <w:lang w:val="en-NZ"/>
              </w:rPr>
            </w:pPr>
            <w:r w:rsidRPr="00911FEB">
              <w:rPr>
                <w:rStyle w:val="SpecialBold"/>
              </w:rPr>
              <w:t>Comment</w:t>
            </w:r>
          </w:p>
        </w:tc>
      </w:tr>
      <w:tr w:rsidTr="001034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1FEB">
            <w:pPr>
              <w:pStyle w:val="BodyText"/>
              <w:rPr>
                <w:lang w:val="en-NZ"/>
              </w:rPr>
            </w:pPr>
            <w:r w:rsidRPr="00911FE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1FEB" w:rsidP="00911FEB">
            <w:pPr>
              <w:pStyle w:val="BodyText"/>
            </w:pPr>
            <w:r w:rsidRPr="00911FEB">
              <w:t>New unit of competency.</w:t>
            </w:r>
          </w:p>
        </w:tc>
      </w:tr>
    </w:tbl>
    <w:p w:rsidR="00000000" w:rsidRPr="00911FEB" w:rsidP="00911FEB">
      <w:pPr>
        <w:pStyle w:val="BodyText"/>
      </w:pPr>
    </w:p>
    <w:p w:rsidR="00000000" w:rsidRPr="00911FEB" w:rsidP="00911FEB">
      <w:pPr>
        <w:pStyle w:val="AllowPageBreak"/>
      </w:pPr>
    </w:p>
    <w:p w:rsidR="00000000" w:rsidRPr="00911FEB" w:rsidP="00911FEB">
      <w:pPr>
        <w:pStyle w:val="Heading1"/>
      </w:pPr>
      <w:bookmarkStart w:id="2" w:name="O_775683"/>
      <w:bookmarkEnd w:id="2"/>
      <w:r w:rsidRPr="00911FEB">
        <w:t>Performance Evidence</w:t>
      </w:r>
    </w:p>
    <w:p w:rsidR="00000000" w:rsidRPr="00911FEB" w:rsidP="00103488">
      <w:pPr>
        <w:pStyle w:val="BodyText"/>
      </w:pPr>
      <w:r w:rsidRPr="00911FEB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911FEB" w:rsidP="00911FEB">
      <w:pPr>
        <w:pStyle w:val="ListBullet"/>
      </w:pPr>
      <w:r w:rsidRPr="00911FEB">
        <w:t>service the following bicycle driv</w:t>
      </w:r>
      <w:r w:rsidRPr="00911FEB">
        <w:t>etrain systems on three different bicycles:</w:t>
      </w:r>
    </w:p>
    <w:p w:rsidR="00000000" w:rsidRPr="00911FEB" w:rsidP="00911FEB">
      <w:pPr>
        <w:pStyle w:val="ListBullet2"/>
      </w:pPr>
      <w:r w:rsidRPr="00911FEB">
        <w:t>derailleur</w:t>
      </w:r>
    </w:p>
    <w:p w:rsidR="00000000" w:rsidRPr="00911FEB" w:rsidP="00911FEB">
      <w:pPr>
        <w:pStyle w:val="ListBullet2"/>
      </w:pPr>
      <w:r w:rsidRPr="00911FEB">
        <w:t>internal hub gear system</w:t>
      </w:r>
    </w:p>
    <w:p w:rsidR="00000000" w:rsidRPr="00911FEB" w:rsidP="00911FEB">
      <w:pPr>
        <w:pStyle w:val="ListBullet2"/>
      </w:pPr>
      <w:r w:rsidRPr="00911FEB">
        <w:t xml:space="preserve">integrated brake and gear lever system </w:t>
      </w:r>
    </w:p>
    <w:p w:rsidR="00000000" w:rsidRPr="00911FEB" w:rsidP="00911FEB">
      <w:pPr>
        <w:pStyle w:val="ListBullet2"/>
      </w:pPr>
      <w:r w:rsidRPr="00911FEB">
        <w:t>fixed and freewheel rear sprockets.</w:t>
      </w:r>
    </w:p>
    <w:p w:rsidR="00000000" w:rsidRPr="00911FEB" w:rsidP="00911FEB">
      <w:pPr>
        <w:pStyle w:val="AllowPageBreak"/>
      </w:pPr>
    </w:p>
    <w:p w:rsidR="00000000" w:rsidRPr="00911FEB" w:rsidP="00911FEB">
      <w:pPr>
        <w:pStyle w:val="Heading1"/>
      </w:pPr>
      <w:bookmarkStart w:id="3" w:name="O_775684"/>
      <w:bookmarkEnd w:id="3"/>
      <w:r w:rsidRPr="00911FEB">
        <w:t>Knowledge Evidence</w:t>
      </w:r>
    </w:p>
    <w:p w:rsidR="00000000" w:rsidRPr="00911FEB" w:rsidP="00103488">
      <w:pPr>
        <w:pStyle w:val="BodyText"/>
      </w:pPr>
      <w:r w:rsidRPr="00911FEB">
        <w:t>Individuals must be able to demonstrate knowledge of:</w:t>
      </w:r>
    </w:p>
    <w:p w:rsidR="00000000" w:rsidRPr="00911FEB" w:rsidP="00911FEB">
      <w:pPr>
        <w:pStyle w:val="ListBullet"/>
      </w:pPr>
      <w:r w:rsidRPr="00911FEB">
        <w:t>work health and safety (WHS) and occupational health and safety (OHS) requirements relating to servicing bicycle drivetrain systems, including procedures for:</w:t>
      </w:r>
    </w:p>
    <w:p w:rsidR="00000000" w:rsidRPr="00911FEB" w:rsidP="00911FEB">
      <w:pPr>
        <w:pStyle w:val="ListBullet2"/>
      </w:pPr>
      <w:r w:rsidRPr="00911FEB">
        <w:t>manually handling bicycles and drivetrain systems</w:t>
      </w:r>
    </w:p>
    <w:p w:rsidR="00000000" w:rsidRPr="00911FEB" w:rsidP="00911FEB">
      <w:pPr>
        <w:pStyle w:val="ListBullet2"/>
      </w:pPr>
      <w:r w:rsidRPr="00911FEB">
        <w:t>identifying workplace hazards</w:t>
      </w:r>
    </w:p>
    <w:p w:rsidR="00000000" w:rsidRPr="00911FEB" w:rsidP="00911FEB">
      <w:pPr>
        <w:pStyle w:val="ListBullet2"/>
      </w:pPr>
      <w:r w:rsidRPr="00911FEB">
        <w:t xml:space="preserve">using tools and </w:t>
      </w:r>
      <w:r w:rsidRPr="00911FEB">
        <w:t>equipment, including personal protective equipment (PPE)</w:t>
      </w:r>
    </w:p>
    <w:p w:rsidR="00000000" w:rsidRPr="00911FEB" w:rsidP="00911FEB">
      <w:pPr>
        <w:pStyle w:val="ListBullet"/>
      </w:pPr>
      <w:r w:rsidRPr="00911FEB">
        <w:t>environmental requirements, including procedures for disposing of waste materials</w:t>
      </w:r>
    </w:p>
    <w:p w:rsidR="00000000" w:rsidRPr="00911FEB" w:rsidP="00911FEB">
      <w:pPr>
        <w:pStyle w:val="ListBullet"/>
      </w:pPr>
      <w:r w:rsidRPr="00911FEB">
        <w:t>key bicycle terminology relating to drivetrain systems</w:t>
      </w:r>
    </w:p>
    <w:p w:rsidR="00000000" w:rsidRPr="00911FEB" w:rsidP="00911FEB">
      <w:pPr>
        <w:pStyle w:val="ListBullet"/>
      </w:pPr>
      <w:r w:rsidRPr="00911FEB">
        <w:t>types of bicycle drivetrain systems and their system componen</w:t>
      </w:r>
      <w:r w:rsidRPr="00911FEB">
        <w:t>ts, including:</w:t>
      </w:r>
    </w:p>
    <w:p w:rsidR="00000000" w:rsidRPr="00911FEB" w:rsidP="00911FEB">
      <w:pPr>
        <w:pStyle w:val="ListBullet2"/>
      </w:pPr>
      <w:r w:rsidRPr="00911FEB">
        <w:t>cranks and pedals</w:t>
      </w:r>
    </w:p>
    <w:p w:rsidR="00000000" w:rsidRPr="00911FEB" w:rsidP="00911FEB">
      <w:pPr>
        <w:pStyle w:val="ListBullet2"/>
      </w:pPr>
      <w:r w:rsidRPr="00911FEB">
        <w:t>chains and chain wheels</w:t>
      </w:r>
    </w:p>
    <w:p w:rsidR="00000000" w:rsidRPr="00911FEB" w:rsidP="00911FEB">
      <w:pPr>
        <w:pStyle w:val="ListBullet2"/>
      </w:pPr>
      <w:r w:rsidRPr="00911FEB">
        <w:t>cassette, cartridge and internal hub gear systems</w:t>
      </w:r>
    </w:p>
    <w:p w:rsidR="00000000" w:rsidRPr="00911FEB" w:rsidP="00911FEB">
      <w:pPr>
        <w:pStyle w:val="ListBullet2"/>
      </w:pPr>
      <w:r w:rsidRPr="00911FEB">
        <w:t>manual mechanical, automatic, electro-mechanical and electric gear changers</w:t>
      </w:r>
    </w:p>
    <w:p w:rsidR="00000000" w:rsidRPr="00911FEB" w:rsidP="00911FEB">
      <w:pPr>
        <w:pStyle w:val="ListBullet2"/>
      </w:pPr>
      <w:r w:rsidRPr="00911FEB">
        <w:t>integrated brake and gear lever systems</w:t>
      </w:r>
    </w:p>
    <w:p w:rsidR="00000000" w:rsidRPr="00911FEB" w:rsidP="00911FEB">
      <w:pPr>
        <w:pStyle w:val="ListBullet2"/>
      </w:pPr>
      <w:r w:rsidRPr="00911FEB">
        <w:t>fixed and freewheel rear sprockets</w:t>
      </w:r>
    </w:p>
    <w:p w:rsidR="00000000" w:rsidRPr="00911FEB" w:rsidP="00911FEB">
      <w:pPr>
        <w:pStyle w:val="ListBullet"/>
      </w:pPr>
      <w:r w:rsidRPr="00911FEB">
        <w:t>types and use of tools and equipment used to service bicycle drivetrain systems</w:t>
      </w:r>
    </w:p>
    <w:p w:rsidR="00000000" w:rsidRPr="00911FEB" w:rsidP="00911FEB">
      <w:pPr>
        <w:pStyle w:val="ListBullet"/>
      </w:pPr>
      <w:r w:rsidRPr="00911FEB">
        <w:t>techniques and processes for servicing bicycle drivetrain systems, including:</w:t>
      </w:r>
    </w:p>
    <w:p w:rsidR="00000000" w:rsidRPr="00911FEB" w:rsidP="00911FEB">
      <w:pPr>
        <w:pStyle w:val="ListBullet2"/>
      </w:pPr>
      <w:r w:rsidRPr="00911FEB">
        <w:t>identification of bicycle drivetrain components, materials an</w:t>
      </w:r>
      <w:r w:rsidRPr="00911FEB">
        <w:t>d specifications</w:t>
      </w:r>
    </w:p>
    <w:p w:rsidR="00000000" w:rsidRPr="00911FEB" w:rsidP="00911FEB">
      <w:pPr>
        <w:pStyle w:val="ListBullet2"/>
      </w:pPr>
      <w:r w:rsidRPr="00911FEB">
        <w:t>use of drivetrain lubricants</w:t>
      </w:r>
    </w:p>
    <w:p w:rsidR="00000000" w:rsidRPr="00911FEB" w:rsidP="00911FEB">
      <w:pPr>
        <w:pStyle w:val="ListBullet2"/>
      </w:pPr>
      <w:r w:rsidRPr="00911FEB">
        <w:t xml:space="preserve">fault identification </w:t>
      </w:r>
    </w:p>
    <w:p w:rsidR="00000000" w:rsidRPr="00911FEB" w:rsidP="00911FEB">
      <w:pPr>
        <w:pStyle w:val="ListBullet2"/>
      </w:pPr>
      <w:r w:rsidRPr="00911FEB">
        <w:t>drivetrain system measuring techniques</w:t>
      </w:r>
    </w:p>
    <w:p w:rsidR="00000000" w:rsidRPr="00911FEB" w:rsidP="00911FEB">
      <w:pPr>
        <w:pStyle w:val="ListBullet2"/>
      </w:pPr>
      <w:r w:rsidRPr="00911FEB">
        <w:t xml:space="preserve">drivetrain adjustment techniques </w:t>
      </w:r>
    </w:p>
    <w:p w:rsidR="00000000" w:rsidRPr="00911FEB" w:rsidP="00911FEB">
      <w:pPr>
        <w:pStyle w:val="ListBullet2"/>
      </w:pPr>
      <w:r w:rsidRPr="00911FEB">
        <w:t>drivetrain testing procedures.</w:t>
      </w:r>
    </w:p>
    <w:p w:rsidR="00000000" w:rsidRPr="00911FEB" w:rsidP="00911FEB">
      <w:pPr>
        <w:pStyle w:val="AllowPageBreak"/>
      </w:pPr>
    </w:p>
    <w:p w:rsidR="00000000" w:rsidRPr="00911FEB" w:rsidP="00911FEB">
      <w:pPr>
        <w:pStyle w:val="Heading1"/>
      </w:pPr>
      <w:bookmarkStart w:id="4" w:name="O_775685"/>
      <w:bookmarkEnd w:id="4"/>
      <w:r w:rsidRPr="00911FEB">
        <w:t>Assessment Conditions</w:t>
      </w:r>
    </w:p>
    <w:p w:rsidR="00000000" w:rsidRPr="00911FEB" w:rsidP="00103488">
      <w:pPr>
        <w:pStyle w:val="BodyText"/>
      </w:pPr>
      <w:r w:rsidRPr="00911FEB">
        <w:t>Assessors must satisfy NVR/AQTF assessor requirements.</w:t>
      </w:r>
    </w:p>
    <w:p w:rsidR="00000000" w:rsidRPr="00911FEB" w:rsidP="00103488">
      <w:pPr>
        <w:pStyle w:val="BodyText"/>
      </w:pPr>
      <w:r w:rsidRPr="00911FEB">
        <w:t>Competency is to be assessed in the workplace or a simulated environment that accurately reflects performance in a real workplace setting.</w:t>
      </w:r>
    </w:p>
    <w:p w:rsidR="00000000" w:rsidRPr="00911FEB" w:rsidP="00103488">
      <w:pPr>
        <w:pStyle w:val="BodyText"/>
      </w:pPr>
      <w:r w:rsidRPr="00911FEB">
        <w:t>Assessment must include direct observation of tasks.</w:t>
      </w:r>
    </w:p>
    <w:p w:rsidR="00000000" w:rsidRPr="00911FEB" w:rsidP="00103488">
      <w:pPr>
        <w:pStyle w:val="BodyText"/>
      </w:pPr>
      <w:r w:rsidRPr="00911FEB">
        <w:t xml:space="preserve">Where </w:t>
      </w:r>
      <w:r w:rsidRPr="00911FEB">
        <w:t>assessment of competency includes third-party evidence, individuals must provide evidence that links them to the bicycle drivetrain systems that they have serviced, e.g. service orders.</w:t>
      </w:r>
    </w:p>
    <w:p w:rsidR="00000000" w:rsidRPr="00911FEB" w:rsidP="00103488">
      <w:pPr>
        <w:pStyle w:val="BodyText"/>
      </w:pPr>
      <w:r w:rsidRPr="00911FEB">
        <w:t>Assessors must verify performance evidence through questioning on ski</w:t>
      </w:r>
      <w:r w:rsidRPr="00911FEB">
        <w:t>lls and knowledge to ensure correct interpretation and application.</w:t>
      </w:r>
    </w:p>
    <w:p w:rsidR="00000000" w:rsidRPr="00911FEB" w:rsidP="00103488">
      <w:pPr>
        <w:pStyle w:val="BodyText"/>
      </w:pPr>
      <w:r w:rsidRPr="00911FEB">
        <w:t>The following resources must be made available:</w:t>
      </w:r>
    </w:p>
    <w:p w:rsidR="00000000" w:rsidRPr="00911FEB" w:rsidP="00911FEB">
      <w:pPr>
        <w:pStyle w:val="ListBullet"/>
      </w:pPr>
      <w:r w:rsidRPr="00911FEB">
        <w:t>bicycle workplace or simulated workplace, including location to test bicycle drivetrain system</w:t>
      </w:r>
    </w:p>
    <w:p w:rsidR="00000000" w:rsidRPr="00911FEB" w:rsidP="00911FEB">
      <w:pPr>
        <w:pStyle w:val="ListBullet"/>
      </w:pPr>
      <w:r w:rsidRPr="00911FEB">
        <w:t>workplace instructions detailing job requir</w:t>
      </w:r>
      <w:r w:rsidRPr="00911FEB">
        <w:t>ements</w:t>
      </w:r>
    </w:p>
    <w:p w:rsidR="00000000" w:rsidRPr="00911FEB" w:rsidP="00911FEB">
      <w:pPr>
        <w:pStyle w:val="ListBullet"/>
      </w:pPr>
      <w:r w:rsidRPr="00911FEB">
        <w:t>PPE required to service bicycle drivetrain systems</w:t>
      </w:r>
    </w:p>
    <w:p w:rsidR="00000000" w:rsidRPr="00911FEB" w:rsidP="00911FEB">
      <w:pPr>
        <w:pStyle w:val="ListBullet"/>
      </w:pPr>
      <w:r w:rsidRPr="00911FEB">
        <w:t>drivetrain component specifications</w:t>
      </w:r>
    </w:p>
    <w:p w:rsidR="00000000" w:rsidRPr="00911FEB" w:rsidP="00911FEB">
      <w:pPr>
        <w:pStyle w:val="ListBullet"/>
      </w:pPr>
      <w:r w:rsidRPr="00911FEB">
        <w:t>drivetrain components specified in the performance evidence</w:t>
      </w:r>
    </w:p>
    <w:p w:rsidR="00000000" w:rsidRPr="00911FEB" w:rsidP="00911FEB">
      <w:pPr>
        <w:pStyle w:val="ListBullet"/>
      </w:pPr>
      <w:r w:rsidRPr="00911FEB">
        <w:t xml:space="preserve">three different bicycles requiring drivetrain servicing and testing </w:t>
      </w:r>
    </w:p>
    <w:p w:rsidR="00000000" w:rsidRPr="00911FEB" w:rsidP="00911FEB">
      <w:pPr>
        <w:pStyle w:val="ListBullet"/>
      </w:pPr>
      <w:r w:rsidRPr="00911FEB">
        <w:t>tools and equipment appropriate f</w:t>
      </w:r>
      <w:r w:rsidRPr="00911FEB">
        <w:t>or servicing bicycle drivetrain systems.</w:t>
      </w:r>
    </w:p>
    <w:p w:rsidR="00000000" w:rsidRPr="00911FEB" w:rsidP="00911FEB">
      <w:pPr>
        <w:pStyle w:val="AllowPageBreak"/>
      </w:pPr>
    </w:p>
    <w:p w:rsidR="00000000" w:rsidRPr="00911FEB" w:rsidP="00911FEB">
      <w:pPr>
        <w:pStyle w:val="Heading1"/>
      </w:pPr>
      <w:bookmarkStart w:id="5" w:name="O_775688"/>
      <w:bookmarkEnd w:id="5"/>
      <w:r w:rsidRPr="00911FEB">
        <w:t>Links</w:t>
      </w:r>
    </w:p>
    <w:p w:rsidR="00000000" w:rsidRPr="00911FEB" w:rsidP="00103488">
      <w:pPr>
        <w:pStyle w:val="BodyText"/>
      </w:pPr>
      <w:r w:rsidRPr="00911F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3689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11FEB" w:rsidP="00103488">
      <w:pPr>
        <w:pStyle w:val="BodyText"/>
      </w:pPr>
      <w:r w:rsidRPr="00911F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36891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11FEB" w:rsidP="00911FEB"/>
    <w:sectPr w:rsidSect="00911F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EB" w:rsidRPr="00103488" w:rsidP="001034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88" w:rsidP="00911F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3488" w:rsidP="00911F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03488" w:rsidP="00911F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1FEB" w:rsidRPr="00103488" w:rsidP="001034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F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88" w:rsidRPr="002D2AF8" w:rsidP="00911F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AURBTQ001 Service bicycle drivetrain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03488" w:rsidP="00911F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483C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481A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562C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F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1F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1F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1F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1F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1F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1F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1F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1F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1F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1F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1FEB"/>
  </w:style>
  <w:style w:type="character" w:customStyle="1" w:styleId="Heading1Char">
    <w:name w:val="Heading 1 Char"/>
    <w:basedOn w:val="DefaultParagraphFont"/>
    <w:link w:val="Heading1"/>
    <w:rsid w:val="00911F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1F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1F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1F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1FEB"/>
    <w:rPr>
      <w:b/>
      <w:spacing w:val="0"/>
    </w:rPr>
  </w:style>
  <w:style w:type="paragraph" w:styleId="ListBullet2">
    <w:name w:val="List Bullet 2"/>
    <w:basedOn w:val="List2"/>
    <w:rsid w:val="00911FE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11F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1F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1F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1F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1F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1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1F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1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1F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1F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1F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1F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1F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1F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1F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1F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1F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1F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1F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1F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1F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1F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1F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1F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1F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11F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1F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1F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1F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1F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1F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1F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1F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1F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1FEB"/>
    <w:rPr>
      <w:i/>
    </w:rPr>
  </w:style>
  <w:style w:type="paragraph" w:styleId="Caption">
    <w:name w:val="caption"/>
    <w:basedOn w:val="BodyText"/>
    <w:next w:val="Normal"/>
    <w:qFormat/>
    <w:rsid w:val="00911F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1F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1F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1FEB"/>
  </w:style>
  <w:style w:type="paragraph" w:styleId="TableofFigures">
    <w:name w:val="table of figures"/>
    <w:basedOn w:val="Normal"/>
    <w:next w:val="Normal"/>
    <w:semiHidden/>
    <w:rsid w:val="00911F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1F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11FEB"/>
    <w:rPr>
      <w:rFonts w:ascii="Wingdings" w:hAnsi="Wingdings"/>
    </w:rPr>
  </w:style>
  <w:style w:type="paragraph" w:customStyle="1" w:styleId="TableHeading">
    <w:name w:val="Table Heading"/>
    <w:basedOn w:val="HeadingBase"/>
    <w:rsid w:val="00911F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1FEB"/>
    <w:rPr>
      <w:color w:val="0033CC"/>
      <w:u w:val="none"/>
    </w:rPr>
  </w:style>
  <w:style w:type="paragraph" w:customStyle="1" w:styleId="BodyTextRight">
    <w:name w:val="Body Text Right"/>
    <w:basedOn w:val="BodyText"/>
    <w:rsid w:val="00911F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1F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1F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1F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1F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1F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1FEB"/>
    <w:rPr>
      <w:sz w:val="32"/>
    </w:rPr>
  </w:style>
  <w:style w:type="paragraph" w:customStyle="1" w:styleId="HeadingProcedure">
    <w:name w:val="Heading Procedure"/>
    <w:basedOn w:val="HeadingBase"/>
    <w:next w:val="Normal"/>
    <w:rsid w:val="00911F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1FEB"/>
    <w:pPr>
      <w:spacing w:before="60" w:after="60"/>
    </w:pPr>
  </w:style>
  <w:style w:type="paragraph" w:styleId="ListContinue">
    <w:name w:val="List Continue"/>
    <w:basedOn w:val="List"/>
    <w:rsid w:val="00911FEB"/>
    <w:pPr>
      <w:ind w:firstLine="0"/>
    </w:pPr>
  </w:style>
  <w:style w:type="paragraph" w:customStyle="1" w:styleId="ListNote">
    <w:name w:val="List Note"/>
    <w:basedOn w:val="List"/>
    <w:rsid w:val="00911F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1F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1F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1FEB"/>
    <w:rPr>
      <w:rFonts w:ascii="Courier New" w:hAnsi="Courier New"/>
    </w:rPr>
  </w:style>
  <w:style w:type="paragraph" w:customStyle="1" w:styleId="NoteBullet">
    <w:name w:val="Note Bullet"/>
    <w:basedOn w:val="Note"/>
    <w:rsid w:val="00911F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1F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1F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1F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1F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11F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1F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1FEB"/>
    <w:rPr>
      <w:b/>
      <w:smallCaps/>
    </w:rPr>
  </w:style>
  <w:style w:type="paragraph" w:customStyle="1" w:styleId="TableListNumber">
    <w:name w:val="Table List Number"/>
    <w:basedOn w:val="ListNumber"/>
    <w:rsid w:val="00911F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1F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1FEB"/>
    <w:pPr>
      <w:numPr>
        <w:numId w:val="9"/>
      </w:numPr>
    </w:pPr>
  </w:style>
  <w:style w:type="paragraph" w:customStyle="1" w:styleId="ListAlpha2">
    <w:name w:val="List Alpha 2"/>
    <w:basedOn w:val="List2"/>
    <w:rsid w:val="00911FEB"/>
    <w:pPr>
      <w:numPr>
        <w:numId w:val="8"/>
      </w:numPr>
    </w:pPr>
  </w:style>
  <w:style w:type="paragraph" w:styleId="List2">
    <w:name w:val="List 2"/>
    <w:basedOn w:val="BodyText"/>
    <w:rsid w:val="00911F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1F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1F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1F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1F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1F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11FEB"/>
    <w:pPr>
      <w:numPr>
        <w:numId w:val="4"/>
      </w:numPr>
    </w:pPr>
  </w:style>
  <w:style w:type="paragraph" w:styleId="ListContinue2">
    <w:name w:val="List Continue 2"/>
    <w:basedOn w:val="List2"/>
    <w:rsid w:val="00911FEB"/>
    <w:pPr>
      <w:ind w:firstLine="0"/>
    </w:pPr>
  </w:style>
  <w:style w:type="paragraph" w:styleId="ListContinue3">
    <w:name w:val="List Continue 3"/>
    <w:basedOn w:val="List3"/>
    <w:rsid w:val="00911FEB"/>
    <w:pPr>
      <w:ind w:left="1021" w:firstLine="0"/>
    </w:pPr>
  </w:style>
  <w:style w:type="paragraph" w:styleId="ListContinue4">
    <w:name w:val="List Continue 4"/>
    <w:basedOn w:val="List4"/>
    <w:rsid w:val="00911FEB"/>
    <w:pPr>
      <w:ind w:firstLine="0"/>
    </w:pPr>
  </w:style>
  <w:style w:type="paragraph" w:styleId="ListContinue5">
    <w:name w:val="List Continue 5"/>
    <w:basedOn w:val="List5"/>
    <w:rsid w:val="00911FEB"/>
    <w:pPr>
      <w:ind w:firstLine="0"/>
    </w:pPr>
  </w:style>
  <w:style w:type="paragraph" w:styleId="ListNumber3">
    <w:name w:val="List Number 3"/>
    <w:basedOn w:val="List3"/>
    <w:rsid w:val="00911FEB"/>
    <w:pPr>
      <w:numPr>
        <w:numId w:val="5"/>
      </w:numPr>
    </w:pPr>
  </w:style>
  <w:style w:type="paragraph" w:styleId="ListNumber4">
    <w:name w:val="List Number 4"/>
    <w:basedOn w:val="List4"/>
    <w:rsid w:val="00911FEB"/>
    <w:pPr>
      <w:numPr>
        <w:numId w:val="6"/>
      </w:numPr>
    </w:pPr>
  </w:style>
  <w:style w:type="paragraph" w:styleId="ListNumber5">
    <w:name w:val="List Number 5"/>
    <w:basedOn w:val="List5"/>
    <w:rsid w:val="00911FEB"/>
    <w:pPr>
      <w:numPr>
        <w:numId w:val="7"/>
      </w:numPr>
    </w:pPr>
  </w:style>
  <w:style w:type="paragraph" w:styleId="BlockText">
    <w:name w:val="Block Text"/>
    <w:basedOn w:val="Normal"/>
    <w:rsid w:val="00911F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1F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1FEB"/>
    <w:rPr>
      <w:sz w:val="16"/>
      <w:vertAlign w:val="superscript"/>
    </w:rPr>
  </w:style>
  <w:style w:type="character" w:customStyle="1" w:styleId="Symbols">
    <w:name w:val="Symbols"/>
    <w:basedOn w:val="DefaultParagraphFont"/>
    <w:rsid w:val="00911FEB"/>
    <w:rPr>
      <w:rFonts w:ascii="Symbol" w:hAnsi="Symbol"/>
    </w:rPr>
  </w:style>
  <w:style w:type="character" w:customStyle="1" w:styleId="MenuOptions">
    <w:name w:val="Menu Options"/>
    <w:basedOn w:val="DefaultParagraphFont"/>
    <w:rsid w:val="00911F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1FEB"/>
    <w:rPr>
      <w:b/>
    </w:rPr>
  </w:style>
  <w:style w:type="character" w:customStyle="1" w:styleId="Underlined">
    <w:name w:val="Underlined"/>
    <w:basedOn w:val="DefaultParagraphFont"/>
    <w:rsid w:val="00911FEB"/>
    <w:rPr>
      <w:u w:val="single"/>
    </w:rPr>
  </w:style>
  <w:style w:type="paragraph" w:customStyle="1" w:styleId="TableBodyTextRight">
    <w:name w:val="Table Body Text Right"/>
    <w:basedOn w:val="TableBodyText"/>
    <w:rsid w:val="00911F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1FEB"/>
    <w:rPr>
      <w:sz w:val="18"/>
    </w:rPr>
  </w:style>
  <w:style w:type="paragraph" w:customStyle="1" w:styleId="BodySmallRight">
    <w:name w:val="Body Small Right"/>
    <w:basedOn w:val="BodyTextRight"/>
    <w:rsid w:val="00911FEB"/>
    <w:rPr>
      <w:sz w:val="18"/>
      <w:szCs w:val="18"/>
    </w:rPr>
  </w:style>
  <w:style w:type="paragraph" w:customStyle="1" w:styleId="MarginEdition">
    <w:name w:val="Margin Edition"/>
    <w:basedOn w:val="MarginNote"/>
    <w:rsid w:val="00911F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1FEB"/>
    <w:rPr>
      <w:sz w:val="2"/>
      <w:szCs w:val="2"/>
    </w:rPr>
  </w:style>
  <w:style w:type="character" w:customStyle="1" w:styleId="Small">
    <w:name w:val="Small"/>
    <w:basedOn w:val="DefaultParagraphFont"/>
    <w:rsid w:val="00911FEB"/>
    <w:rPr>
      <w:sz w:val="16"/>
    </w:rPr>
  </w:style>
  <w:style w:type="paragraph" w:customStyle="1" w:styleId="WideTable">
    <w:name w:val="Wide Table"/>
    <w:basedOn w:val="Normal"/>
    <w:rsid w:val="00911F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1FEB"/>
  </w:style>
  <w:style w:type="paragraph" w:styleId="Quote">
    <w:name w:val="Quote"/>
    <w:basedOn w:val="Heading1"/>
    <w:link w:val="QuoteChar"/>
    <w:qFormat/>
    <w:rsid w:val="00911F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1F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1FEB"/>
    <w:pPr>
      <w:pageBreakBefore/>
    </w:pPr>
  </w:style>
  <w:style w:type="paragraph" w:customStyle="1" w:styleId="Border">
    <w:name w:val="Border"/>
    <w:basedOn w:val="Normal"/>
    <w:qFormat/>
    <w:rsid w:val="00911F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1F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F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1F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1F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1F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1F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1F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1F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1FEB"/>
    <w:rPr>
      <w:u w:val="single"/>
    </w:rPr>
  </w:style>
  <w:style w:type="character" w:customStyle="1" w:styleId="BoldandItalics">
    <w:name w:val="Bold and Italics"/>
    <w:qFormat/>
    <w:rsid w:val="00911FEB"/>
    <w:rPr>
      <w:b/>
      <w:i/>
      <w:u w:val="none"/>
    </w:rPr>
  </w:style>
  <w:style w:type="paragraph" w:styleId="BalloonText">
    <w:name w:val="Balloon Text"/>
    <w:basedOn w:val="Normal"/>
    <w:link w:val="BalloonTextChar"/>
    <w:rsid w:val="00911F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1F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1F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1F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1F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1F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1FEB"/>
    <w:pPr>
      <w:spacing w:before="0" w:after="0"/>
    </w:pPr>
  </w:style>
  <w:style w:type="paragraph" w:customStyle="1" w:styleId="BodyTextBold">
    <w:name w:val="Body Text Bold"/>
    <w:basedOn w:val="BodyText"/>
    <w:qFormat/>
    <w:rsid w:val="00911FEB"/>
    <w:rPr>
      <w:b/>
    </w:rPr>
  </w:style>
  <w:style w:type="character" w:styleId="Hyperlink">
    <w:name w:val="Hyperlink"/>
    <w:basedOn w:val="DefaultParagraphFont"/>
    <w:uiPriority w:val="99"/>
    <w:unhideWhenUsed/>
    <w:rsid w:val="001034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3122</Characters>
  <Application>Microsoft Office Word</Application>
  <DocSecurity>0</DocSecurity>
  <Lines>84</Lines>
  <Paragraphs>66</Paragraphs>
  <ScaleCrop>false</ScaleCrop>
  <Company>Author-it Software Corporation Ltd.</Company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AURBTQ001 Service bicycle drivetrain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2023-12-19T07:18:00Z</dcterms:created>
  <dcterms:modified xsi:type="dcterms:W3CDTF">2023-12-19T07:18:00Z</dcterms:modified>
</cp:coreProperties>
</file>