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3B8" w:rsidP="00FC1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AURBTA007 Provide mechanical support during cycling events</w:t>
      </w:r>
      <w:r>
        <w:fldChar w:fldCharType="end"/>
      </w:r>
    </w:p>
    <w:p w:rsidR="00FC13B8" w:rsidP="00FC13B8">
      <w:pPr>
        <w:pStyle w:val="Version"/>
        <w:sectPr w:rsidSect="003C4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AF3" w:rsidP="003C4AF3">
      <w:pPr>
        <w:pStyle w:val="SuperHeading"/>
      </w:pPr>
      <w:r w:rsidRPr="003C4AF3">
        <w:t>Assessment Requirements for AURBTA007 Provide mechanical support during cycling events</w:t>
      </w:r>
    </w:p>
    <w:p w:rsidR="00000000" w:rsidRPr="003C4AF3" w:rsidP="003C4AF3">
      <w:pPr>
        <w:pStyle w:val="Heading1"/>
      </w:pPr>
      <w:bookmarkStart w:id="1" w:name="O_775435"/>
      <w:bookmarkEnd w:id="1"/>
      <w:r w:rsidRPr="003C4AF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13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AF3" w:rsidP="003C4AF3">
            <w:pPr>
              <w:pStyle w:val="BodyText"/>
            </w:pPr>
            <w:r w:rsidRPr="003C4AF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AF3">
            <w:pPr>
              <w:pStyle w:val="BodyText"/>
              <w:rPr>
                <w:lang w:val="en-NZ"/>
              </w:rPr>
            </w:pPr>
            <w:r w:rsidRPr="003C4AF3">
              <w:rPr>
                <w:rStyle w:val="SpecialBold"/>
              </w:rPr>
              <w:t>Comment</w:t>
            </w:r>
          </w:p>
        </w:tc>
      </w:tr>
      <w:tr w:rsidTr="00FC13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AF3">
            <w:pPr>
              <w:pStyle w:val="BodyText"/>
              <w:rPr>
                <w:lang w:val="en-NZ"/>
              </w:rPr>
            </w:pPr>
            <w:r w:rsidRPr="003C4AF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AF3" w:rsidP="003C4AF3">
            <w:pPr>
              <w:pStyle w:val="BodyText"/>
            </w:pPr>
            <w:r w:rsidRPr="003C4AF3">
              <w:t>New unit of competency.</w:t>
            </w:r>
          </w:p>
        </w:tc>
      </w:tr>
    </w:tbl>
    <w:p w:rsidR="00000000" w:rsidRPr="003C4AF3" w:rsidP="003C4AF3">
      <w:pPr>
        <w:pStyle w:val="BodyText"/>
      </w:pPr>
    </w:p>
    <w:p w:rsidR="00000000" w:rsidRPr="003C4AF3" w:rsidP="003C4AF3">
      <w:pPr>
        <w:pStyle w:val="AllowPageBreak"/>
      </w:pPr>
    </w:p>
    <w:p w:rsidR="00000000" w:rsidRPr="003C4AF3" w:rsidP="003C4AF3">
      <w:pPr>
        <w:pStyle w:val="Heading1"/>
      </w:pPr>
      <w:bookmarkStart w:id="2" w:name="O_775436"/>
      <w:bookmarkEnd w:id="2"/>
      <w:r w:rsidRPr="003C4AF3">
        <w:t>Performance Evidence</w:t>
      </w:r>
    </w:p>
    <w:p w:rsidR="00000000" w:rsidRPr="003C4AF3" w:rsidP="00FC13B8">
      <w:pPr>
        <w:pStyle w:val="BodyText"/>
      </w:pPr>
      <w:r w:rsidRPr="003C4AF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C4AF3" w:rsidP="003C4AF3">
      <w:pPr>
        <w:pStyle w:val="ListBullet"/>
      </w:pPr>
      <w:r w:rsidRPr="003C4AF3">
        <w:t>set up a temporary mobile mechanic</w:t>
      </w:r>
      <w:r w:rsidRPr="003C4AF3">
        <w:t>al support work station during two different cycling events</w:t>
      </w:r>
    </w:p>
    <w:p w:rsidR="00000000" w:rsidRPr="003C4AF3" w:rsidP="003C4AF3">
      <w:pPr>
        <w:pStyle w:val="ListBullet"/>
      </w:pPr>
      <w:r w:rsidRPr="003C4AF3">
        <w:t>adjust and repair two bicycles during the above events, in which the work must involve:</w:t>
      </w:r>
    </w:p>
    <w:p w:rsidR="00000000" w:rsidRPr="003C4AF3" w:rsidP="003C4AF3">
      <w:pPr>
        <w:pStyle w:val="ListBullet2"/>
      </w:pPr>
      <w:r w:rsidRPr="003C4AF3">
        <w:t>identifying bicycle components to be repaired or replaced</w:t>
      </w:r>
    </w:p>
    <w:p w:rsidR="00000000" w:rsidRPr="003C4AF3" w:rsidP="003C4AF3">
      <w:pPr>
        <w:pStyle w:val="ListBullet2"/>
      </w:pPr>
      <w:r w:rsidRPr="003C4AF3">
        <w:t xml:space="preserve">applying correct repair, replacement, adjustment and testing procedures </w:t>
      </w:r>
    </w:p>
    <w:p w:rsidR="00000000" w:rsidRPr="003C4AF3" w:rsidP="003C4AF3">
      <w:pPr>
        <w:pStyle w:val="ListBullet2"/>
      </w:pPr>
      <w:r w:rsidRPr="003C4AF3">
        <w:t>working under pressure within required event timeframes.</w:t>
      </w:r>
    </w:p>
    <w:p w:rsidR="00000000" w:rsidRPr="003C4AF3" w:rsidP="003C4AF3">
      <w:pPr>
        <w:pStyle w:val="AllowPageBreak"/>
      </w:pPr>
    </w:p>
    <w:p w:rsidR="00000000" w:rsidRPr="003C4AF3" w:rsidP="003C4AF3">
      <w:pPr>
        <w:pStyle w:val="Heading1"/>
      </w:pPr>
      <w:bookmarkStart w:id="3" w:name="O_775437"/>
      <w:bookmarkEnd w:id="3"/>
      <w:r w:rsidRPr="003C4AF3">
        <w:t>Knowledge Evidence</w:t>
      </w:r>
    </w:p>
    <w:p w:rsidR="00000000" w:rsidRPr="003C4AF3" w:rsidP="00FC13B8">
      <w:pPr>
        <w:pStyle w:val="BodyText"/>
      </w:pPr>
      <w:r w:rsidRPr="003C4AF3">
        <w:t>Individuals must be able to demonstrate knowledge of:</w:t>
      </w:r>
    </w:p>
    <w:p w:rsidR="00000000" w:rsidRPr="003C4AF3" w:rsidP="003C4AF3">
      <w:pPr>
        <w:pStyle w:val="ListBullet"/>
      </w:pPr>
      <w:r w:rsidRPr="003C4AF3">
        <w:t>work health and safety (WHS) and oc</w:t>
      </w:r>
      <w:r w:rsidRPr="003C4AF3">
        <w:t>cupational health and safety (OHS) requirements relating to providing mechanical support during cycling events, including procedures for:</w:t>
      </w:r>
    </w:p>
    <w:p w:rsidR="00000000" w:rsidRPr="003C4AF3" w:rsidP="003C4AF3">
      <w:pPr>
        <w:pStyle w:val="ListBullet2"/>
      </w:pPr>
      <w:r w:rsidRPr="003C4AF3">
        <w:t>manually handling bicycles, components, tools and equipment</w:t>
      </w:r>
    </w:p>
    <w:p w:rsidR="00000000" w:rsidRPr="003C4AF3" w:rsidP="003C4AF3">
      <w:pPr>
        <w:pStyle w:val="ListBullet2"/>
      </w:pPr>
      <w:r w:rsidRPr="003C4AF3">
        <w:t>identifying hazards</w:t>
      </w:r>
    </w:p>
    <w:p w:rsidR="00000000" w:rsidRPr="003C4AF3" w:rsidP="003C4AF3">
      <w:pPr>
        <w:pStyle w:val="ListBullet2"/>
      </w:pPr>
      <w:r w:rsidRPr="003C4AF3">
        <w:t>using personal protective equipment (</w:t>
      </w:r>
      <w:r w:rsidRPr="003C4AF3">
        <w:t>PPE)</w:t>
      </w:r>
    </w:p>
    <w:p w:rsidR="00000000" w:rsidRPr="003C4AF3" w:rsidP="003C4AF3">
      <w:pPr>
        <w:pStyle w:val="ListBullet"/>
      </w:pPr>
      <w:r w:rsidRPr="003C4AF3">
        <w:t>environmental requirements, including procedures for disposing of waste materials</w:t>
      </w:r>
    </w:p>
    <w:p w:rsidR="00000000" w:rsidRPr="003C4AF3" w:rsidP="003C4AF3">
      <w:pPr>
        <w:pStyle w:val="ListBullet"/>
      </w:pPr>
      <w:r w:rsidRPr="003C4AF3">
        <w:t>bicycle mechanical principles</w:t>
      </w:r>
    </w:p>
    <w:p w:rsidR="00000000" w:rsidRPr="003C4AF3" w:rsidP="003C4AF3">
      <w:pPr>
        <w:pStyle w:val="ListBullet"/>
      </w:pPr>
      <w:r w:rsidRPr="003C4AF3">
        <w:t>key bicycle components and their specifications</w:t>
      </w:r>
    </w:p>
    <w:p w:rsidR="00000000" w:rsidRPr="003C4AF3" w:rsidP="003C4AF3">
      <w:pPr>
        <w:pStyle w:val="ListBullet"/>
      </w:pPr>
      <w:r w:rsidRPr="003C4AF3">
        <w:t>cycling event categories and bicycle types, including:</w:t>
      </w:r>
    </w:p>
    <w:p w:rsidR="00000000" w:rsidRPr="003C4AF3" w:rsidP="003C4AF3">
      <w:pPr>
        <w:pStyle w:val="ListBullet2"/>
      </w:pPr>
      <w:r w:rsidRPr="003C4AF3">
        <w:t>road, track and mountain</w:t>
      </w:r>
    </w:p>
    <w:p w:rsidR="00000000" w:rsidRPr="003C4AF3" w:rsidP="003C4AF3">
      <w:pPr>
        <w:pStyle w:val="ListBullet2"/>
      </w:pPr>
      <w:r w:rsidRPr="003C4AF3">
        <w:t>community</w:t>
      </w:r>
      <w:r w:rsidRPr="003C4AF3">
        <w:t xml:space="preserve"> and recreational</w:t>
      </w:r>
    </w:p>
    <w:p w:rsidR="00000000" w:rsidRPr="003C4AF3" w:rsidP="003C4AF3">
      <w:pPr>
        <w:pStyle w:val="ListBullet"/>
      </w:pPr>
      <w:r w:rsidRPr="003C4AF3">
        <w:t>key bicycle and cycling event terminology</w:t>
      </w:r>
    </w:p>
    <w:p w:rsidR="00000000" w:rsidRPr="003C4AF3" w:rsidP="003C4AF3">
      <w:pPr>
        <w:pStyle w:val="ListBullet"/>
      </w:pPr>
      <w:r w:rsidRPr="003C4AF3">
        <w:t>cycling governing bodies and their relevant regulations</w:t>
      </w:r>
    </w:p>
    <w:p w:rsidR="00000000" w:rsidRPr="003C4AF3" w:rsidP="003C4AF3">
      <w:pPr>
        <w:pStyle w:val="ListBullet"/>
      </w:pPr>
      <w:r w:rsidRPr="003C4AF3">
        <w:t>location and content of workplace procedures relating to adjusting and repairing bicycles during cycling events</w:t>
      </w:r>
    </w:p>
    <w:p w:rsidR="00000000" w:rsidRPr="003C4AF3" w:rsidP="003C4AF3">
      <w:pPr>
        <w:pStyle w:val="ListBullet"/>
      </w:pPr>
      <w:r w:rsidRPr="003C4AF3">
        <w:t>optimum set-up and layout o</w:t>
      </w:r>
      <w:r w:rsidRPr="003C4AF3">
        <w:t>f temporary work station at a cycling event</w:t>
      </w:r>
    </w:p>
    <w:p w:rsidR="00000000" w:rsidRPr="003C4AF3" w:rsidP="003C4AF3">
      <w:pPr>
        <w:pStyle w:val="ListBullet"/>
      </w:pPr>
      <w:r w:rsidRPr="003C4AF3">
        <w:t>types and use of tools and equipment used by mechanical support teams</w:t>
      </w:r>
    </w:p>
    <w:p w:rsidR="00000000" w:rsidRPr="003C4AF3" w:rsidP="003C4AF3">
      <w:pPr>
        <w:pStyle w:val="ListBullet"/>
      </w:pPr>
      <w:r w:rsidRPr="003C4AF3">
        <w:t>repair and maintenance techniques for bicycles and components in a race or event environment, including:</w:t>
      </w:r>
    </w:p>
    <w:p w:rsidR="00000000" w:rsidRPr="003C4AF3" w:rsidP="003C4AF3">
      <w:pPr>
        <w:pStyle w:val="ListBullet2"/>
      </w:pPr>
      <w:r w:rsidRPr="003C4AF3">
        <w:t xml:space="preserve">testing and adjustment methods </w:t>
      </w:r>
    </w:p>
    <w:p w:rsidR="00000000" w:rsidRPr="003C4AF3" w:rsidP="003C4AF3">
      <w:pPr>
        <w:pStyle w:val="ListBullet2"/>
      </w:pPr>
      <w:r w:rsidRPr="003C4AF3">
        <w:t>comp</w:t>
      </w:r>
      <w:r w:rsidRPr="003C4AF3">
        <w:t>onent repair, replacement, adjustment and tensioning techniques.</w:t>
      </w:r>
    </w:p>
    <w:p w:rsidR="00000000" w:rsidRPr="003C4AF3" w:rsidP="003C4AF3">
      <w:pPr>
        <w:pStyle w:val="AllowPageBreak"/>
      </w:pPr>
    </w:p>
    <w:p w:rsidR="00000000" w:rsidRPr="003C4AF3" w:rsidP="003C4AF3">
      <w:pPr>
        <w:pStyle w:val="Heading1"/>
      </w:pPr>
      <w:bookmarkStart w:id="4" w:name="O_775438"/>
      <w:bookmarkEnd w:id="4"/>
      <w:r w:rsidRPr="003C4AF3">
        <w:t>Assessment Conditions</w:t>
      </w:r>
    </w:p>
    <w:p w:rsidR="00000000" w:rsidRPr="003C4AF3" w:rsidP="00FC13B8">
      <w:pPr>
        <w:pStyle w:val="BodyText"/>
      </w:pPr>
      <w:r w:rsidRPr="003C4AF3">
        <w:t>Assessors must satisfy NVR/AQTF assessor requirements.</w:t>
      </w:r>
    </w:p>
    <w:p w:rsidR="00000000" w:rsidRPr="003C4AF3" w:rsidP="00FC13B8">
      <w:pPr>
        <w:pStyle w:val="BodyText"/>
      </w:pPr>
      <w:r w:rsidRPr="003C4AF3">
        <w:t>Competency is to be assessed in the workplace or a simulated environment that accurately reflect</w:t>
      </w:r>
      <w:r w:rsidRPr="003C4AF3">
        <w:t>s performance in a real workplace setting.</w:t>
      </w:r>
    </w:p>
    <w:p w:rsidR="00000000" w:rsidRPr="003C4AF3" w:rsidP="00FC13B8">
      <w:pPr>
        <w:pStyle w:val="BodyText"/>
      </w:pPr>
      <w:r w:rsidRPr="003C4AF3">
        <w:t>Assessment must include direct observation of tasks and where assessment of competency includes third-party evidence, individuals must provide evidence that links them to the cycling events where they have provid</w:t>
      </w:r>
      <w:r w:rsidRPr="003C4AF3">
        <w:t>ed mechanical support, e.g. cycling event repair reports.</w:t>
      </w:r>
    </w:p>
    <w:p w:rsidR="00000000" w:rsidRPr="003C4AF3" w:rsidP="00FC13B8">
      <w:pPr>
        <w:pStyle w:val="BodyText"/>
      </w:pPr>
      <w:r w:rsidRPr="003C4AF3">
        <w:t>Assessors must verify performance evidence through questioning on skills and knowledge to ensure correct interpretation and application.</w:t>
      </w:r>
    </w:p>
    <w:p w:rsidR="00000000" w:rsidRPr="003C4AF3" w:rsidP="00FC13B8">
      <w:pPr>
        <w:pStyle w:val="BodyText"/>
      </w:pPr>
      <w:r w:rsidRPr="003C4AF3">
        <w:t>The following resources must be made available:</w:t>
      </w:r>
    </w:p>
    <w:p w:rsidR="00000000" w:rsidRPr="003C4AF3" w:rsidP="003C4AF3">
      <w:pPr>
        <w:pStyle w:val="ListBullet"/>
      </w:pPr>
      <w:r w:rsidRPr="003C4AF3">
        <w:t xml:space="preserve">temporary </w:t>
      </w:r>
      <w:r w:rsidRPr="003C4AF3">
        <w:t>workstation at two different cycling events or simulated event locations, including:</w:t>
      </w:r>
    </w:p>
    <w:p w:rsidR="00000000" w:rsidRPr="003C4AF3" w:rsidP="003C4AF3">
      <w:pPr>
        <w:pStyle w:val="ListBullet2"/>
      </w:pPr>
      <w:r w:rsidRPr="003C4AF3">
        <w:t>floor and matting</w:t>
      </w:r>
    </w:p>
    <w:p w:rsidR="00000000" w:rsidRPr="003C4AF3" w:rsidP="003C4AF3">
      <w:pPr>
        <w:pStyle w:val="ListBullet2"/>
      </w:pPr>
      <w:r w:rsidRPr="003C4AF3">
        <w:t>tables, benches and bicycle stands</w:t>
      </w:r>
    </w:p>
    <w:p w:rsidR="00000000" w:rsidRPr="003C4AF3" w:rsidP="003C4AF3">
      <w:pPr>
        <w:pStyle w:val="ListBullet2"/>
      </w:pPr>
      <w:r w:rsidRPr="003C4AF3">
        <w:t>lighting</w:t>
      </w:r>
    </w:p>
    <w:p w:rsidR="00000000" w:rsidRPr="003C4AF3" w:rsidP="003C4AF3">
      <w:pPr>
        <w:pStyle w:val="ListBullet2"/>
      </w:pPr>
      <w:r w:rsidRPr="003C4AF3">
        <w:t>bicycle storage</w:t>
      </w:r>
    </w:p>
    <w:p w:rsidR="00000000" w:rsidRPr="003C4AF3" w:rsidP="003C4AF3">
      <w:pPr>
        <w:pStyle w:val="ListBullet"/>
      </w:pPr>
      <w:r w:rsidRPr="003C4AF3">
        <w:t>workplace instructions</w:t>
      </w:r>
    </w:p>
    <w:p w:rsidR="00000000" w:rsidRPr="003C4AF3" w:rsidP="003C4AF3">
      <w:pPr>
        <w:pStyle w:val="ListBullet"/>
      </w:pPr>
      <w:r w:rsidRPr="003C4AF3">
        <w:t>workplace and cycling event information</w:t>
      </w:r>
    </w:p>
    <w:p w:rsidR="00000000" w:rsidRPr="003C4AF3" w:rsidP="003C4AF3">
      <w:pPr>
        <w:pStyle w:val="ListBullet"/>
      </w:pPr>
      <w:r w:rsidRPr="003C4AF3">
        <w:t>PPE for mechanical support</w:t>
      </w:r>
    </w:p>
    <w:p w:rsidR="00000000" w:rsidRPr="003C4AF3" w:rsidP="003C4AF3">
      <w:pPr>
        <w:pStyle w:val="ListBullet"/>
      </w:pPr>
      <w:r w:rsidRPr="003C4AF3">
        <w:t>bicycle components</w:t>
      </w:r>
    </w:p>
    <w:p w:rsidR="00000000" w:rsidRPr="003C4AF3" w:rsidP="003C4AF3">
      <w:pPr>
        <w:pStyle w:val="ListBullet"/>
      </w:pPr>
      <w:r w:rsidRPr="003C4AF3">
        <w:t>bicycles that require repair and adjustment at cycling events</w:t>
      </w:r>
    </w:p>
    <w:p w:rsidR="00000000" w:rsidRPr="003C4AF3" w:rsidP="003C4AF3">
      <w:pPr>
        <w:pStyle w:val="ListBullet"/>
      </w:pPr>
      <w:r w:rsidRPr="003C4AF3">
        <w:t>tools and equipment appropriate for providing mechanical support during cycling events, including:</w:t>
      </w:r>
    </w:p>
    <w:p w:rsidR="00000000" w:rsidRPr="003C4AF3" w:rsidP="003C4AF3">
      <w:pPr>
        <w:pStyle w:val="ListBullet2"/>
      </w:pPr>
      <w:r w:rsidRPr="003C4AF3">
        <w:t>portable bicycle stands</w:t>
      </w:r>
    </w:p>
    <w:p w:rsidR="00000000" w:rsidRPr="003C4AF3" w:rsidP="003C4AF3">
      <w:pPr>
        <w:pStyle w:val="ListBullet2"/>
      </w:pPr>
      <w:r w:rsidRPr="003C4AF3">
        <w:t>hand tools and spare parts</w:t>
      </w:r>
    </w:p>
    <w:p w:rsidR="00000000" w:rsidRPr="003C4AF3" w:rsidP="003C4AF3">
      <w:pPr>
        <w:pStyle w:val="ListBullet2"/>
      </w:pPr>
      <w:r w:rsidRPr="003C4AF3">
        <w:t>lubricants and hydraulic</w:t>
      </w:r>
      <w:r w:rsidRPr="003C4AF3">
        <w:t xml:space="preserve"> fluid </w:t>
      </w:r>
    </w:p>
    <w:p w:rsidR="00000000" w:rsidRPr="003C4AF3" w:rsidP="003C4AF3">
      <w:pPr>
        <w:pStyle w:val="ListBullet2"/>
      </w:pPr>
      <w:r w:rsidRPr="003C4AF3">
        <w:t>pump and compressor.</w:t>
      </w:r>
    </w:p>
    <w:p w:rsidR="00000000" w:rsidRPr="003C4AF3" w:rsidP="003C4AF3">
      <w:pPr>
        <w:pStyle w:val="AllowPageBreak"/>
      </w:pPr>
    </w:p>
    <w:p w:rsidR="00000000" w:rsidRPr="003C4AF3" w:rsidP="003C4AF3">
      <w:pPr>
        <w:pStyle w:val="Heading1"/>
      </w:pPr>
      <w:bookmarkStart w:id="5" w:name="O_775441"/>
      <w:bookmarkEnd w:id="5"/>
      <w:r w:rsidRPr="003C4AF3">
        <w:t>Links</w:t>
      </w:r>
    </w:p>
    <w:p w:rsidR="00000000" w:rsidRPr="003C4AF3" w:rsidP="00FC13B8">
      <w:pPr>
        <w:pStyle w:val="BodyText"/>
      </w:pPr>
      <w:r w:rsidRPr="003C4A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09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4AF3" w:rsidP="00FC13B8">
      <w:pPr>
        <w:pStyle w:val="BodyText"/>
      </w:pPr>
      <w:r w:rsidRPr="003C4AF3">
        <w:t>Companion Volume implementation guides are found in VETNet</w:t>
      </w:r>
      <w:r w:rsidRPr="003C4AF3">
        <w:t xml:space="preserve">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09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4AF3" w:rsidP="003C4AF3"/>
    <w:sectPr w:rsidSect="003C4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F3" w:rsidRPr="00FC13B8" w:rsidP="00FC1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B8" w:rsidP="003C4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3B8" w:rsidP="003C4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13B8" w:rsidP="003C4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AF3" w:rsidRPr="00FC13B8" w:rsidP="00FC1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B8" w:rsidRPr="002D2AF8" w:rsidP="003C4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AURBTA007 Provide mechanical support during cycling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C13B8" w:rsidP="003C4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21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A9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02D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AF3"/>
  </w:style>
  <w:style w:type="character" w:customStyle="1" w:styleId="Heading1Char">
    <w:name w:val="Heading 1 Char"/>
    <w:basedOn w:val="DefaultParagraphFont"/>
    <w:link w:val="Heading1"/>
    <w:rsid w:val="003C4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A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AF3"/>
    <w:rPr>
      <w:b/>
      <w:spacing w:val="0"/>
    </w:rPr>
  </w:style>
  <w:style w:type="paragraph" w:styleId="ListBullet2">
    <w:name w:val="List Bullet 2"/>
    <w:basedOn w:val="List2"/>
    <w:rsid w:val="003C4A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4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AF3"/>
    <w:rPr>
      <w:i/>
    </w:rPr>
  </w:style>
  <w:style w:type="paragraph" w:styleId="Caption">
    <w:name w:val="caption"/>
    <w:basedOn w:val="BodyText"/>
    <w:next w:val="Normal"/>
    <w:qFormat/>
    <w:rsid w:val="003C4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AF3"/>
  </w:style>
  <w:style w:type="paragraph" w:styleId="TableofFigures">
    <w:name w:val="table of figures"/>
    <w:basedOn w:val="Normal"/>
    <w:next w:val="Normal"/>
    <w:semiHidden/>
    <w:rsid w:val="003C4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AF3"/>
    <w:rPr>
      <w:rFonts w:ascii="Wingdings" w:hAnsi="Wingdings"/>
    </w:rPr>
  </w:style>
  <w:style w:type="paragraph" w:customStyle="1" w:styleId="TableHeading">
    <w:name w:val="Table Heading"/>
    <w:basedOn w:val="HeadingBase"/>
    <w:rsid w:val="003C4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AF3"/>
    <w:rPr>
      <w:color w:val="0033CC"/>
      <w:u w:val="none"/>
    </w:rPr>
  </w:style>
  <w:style w:type="paragraph" w:customStyle="1" w:styleId="BodyTextRight">
    <w:name w:val="Body Text Right"/>
    <w:basedOn w:val="BodyText"/>
    <w:rsid w:val="003C4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AF3"/>
    <w:rPr>
      <w:sz w:val="32"/>
    </w:rPr>
  </w:style>
  <w:style w:type="paragraph" w:customStyle="1" w:styleId="HeadingProcedure">
    <w:name w:val="Heading Procedure"/>
    <w:basedOn w:val="HeadingBase"/>
    <w:next w:val="Normal"/>
    <w:rsid w:val="003C4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AF3"/>
    <w:pPr>
      <w:spacing w:before="60" w:after="60"/>
    </w:pPr>
  </w:style>
  <w:style w:type="paragraph" w:styleId="ListContinue">
    <w:name w:val="List Continue"/>
    <w:basedOn w:val="List"/>
    <w:rsid w:val="003C4AF3"/>
    <w:pPr>
      <w:ind w:firstLine="0"/>
    </w:pPr>
  </w:style>
  <w:style w:type="paragraph" w:customStyle="1" w:styleId="ListNote">
    <w:name w:val="List Note"/>
    <w:basedOn w:val="List"/>
    <w:rsid w:val="003C4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AF3"/>
    <w:rPr>
      <w:rFonts w:ascii="Courier New" w:hAnsi="Courier New"/>
    </w:rPr>
  </w:style>
  <w:style w:type="paragraph" w:customStyle="1" w:styleId="NoteBullet">
    <w:name w:val="Note Bullet"/>
    <w:basedOn w:val="Note"/>
    <w:rsid w:val="003C4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AF3"/>
    <w:rPr>
      <w:b/>
      <w:smallCaps/>
    </w:rPr>
  </w:style>
  <w:style w:type="paragraph" w:customStyle="1" w:styleId="TableListNumber">
    <w:name w:val="Table List Number"/>
    <w:basedOn w:val="ListNumber"/>
    <w:rsid w:val="003C4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AF3"/>
    <w:pPr>
      <w:numPr>
        <w:numId w:val="9"/>
      </w:numPr>
    </w:pPr>
  </w:style>
  <w:style w:type="paragraph" w:customStyle="1" w:styleId="ListAlpha2">
    <w:name w:val="List Alpha 2"/>
    <w:basedOn w:val="List2"/>
    <w:rsid w:val="003C4AF3"/>
    <w:pPr>
      <w:numPr>
        <w:numId w:val="8"/>
      </w:numPr>
    </w:pPr>
  </w:style>
  <w:style w:type="paragraph" w:styleId="List2">
    <w:name w:val="List 2"/>
    <w:basedOn w:val="BodyText"/>
    <w:rsid w:val="003C4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AF3"/>
    <w:pPr>
      <w:numPr>
        <w:numId w:val="4"/>
      </w:numPr>
    </w:pPr>
  </w:style>
  <w:style w:type="paragraph" w:styleId="ListContinue2">
    <w:name w:val="List Continue 2"/>
    <w:basedOn w:val="List2"/>
    <w:rsid w:val="003C4AF3"/>
    <w:pPr>
      <w:ind w:firstLine="0"/>
    </w:pPr>
  </w:style>
  <w:style w:type="paragraph" w:styleId="ListContinue3">
    <w:name w:val="List Continue 3"/>
    <w:basedOn w:val="List3"/>
    <w:rsid w:val="003C4AF3"/>
    <w:pPr>
      <w:ind w:left="1021" w:firstLine="0"/>
    </w:pPr>
  </w:style>
  <w:style w:type="paragraph" w:styleId="ListContinue4">
    <w:name w:val="List Continue 4"/>
    <w:basedOn w:val="List4"/>
    <w:rsid w:val="003C4AF3"/>
    <w:pPr>
      <w:ind w:firstLine="0"/>
    </w:pPr>
  </w:style>
  <w:style w:type="paragraph" w:styleId="ListContinue5">
    <w:name w:val="List Continue 5"/>
    <w:basedOn w:val="List5"/>
    <w:rsid w:val="003C4AF3"/>
    <w:pPr>
      <w:ind w:firstLine="0"/>
    </w:pPr>
  </w:style>
  <w:style w:type="paragraph" w:styleId="ListNumber3">
    <w:name w:val="List Number 3"/>
    <w:basedOn w:val="List3"/>
    <w:rsid w:val="003C4AF3"/>
    <w:pPr>
      <w:numPr>
        <w:numId w:val="5"/>
      </w:numPr>
    </w:pPr>
  </w:style>
  <w:style w:type="paragraph" w:styleId="ListNumber4">
    <w:name w:val="List Number 4"/>
    <w:basedOn w:val="List4"/>
    <w:rsid w:val="003C4AF3"/>
    <w:pPr>
      <w:numPr>
        <w:numId w:val="6"/>
      </w:numPr>
    </w:pPr>
  </w:style>
  <w:style w:type="paragraph" w:styleId="ListNumber5">
    <w:name w:val="List Number 5"/>
    <w:basedOn w:val="List5"/>
    <w:rsid w:val="003C4AF3"/>
    <w:pPr>
      <w:numPr>
        <w:numId w:val="7"/>
      </w:numPr>
    </w:pPr>
  </w:style>
  <w:style w:type="paragraph" w:styleId="BlockText">
    <w:name w:val="Block Text"/>
    <w:basedOn w:val="Normal"/>
    <w:rsid w:val="003C4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AF3"/>
    <w:rPr>
      <w:sz w:val="16"/>
      <w:vertAlign w:val="superscript"/>
    </w:rPr>
  </w:style>
  <w:style w:type="character" w:customStyle="1" w:styleId="Symbols">
    <w:name w:val="Symbols"/>
    <w:basedOn w:val="DefaultParagraphFont"/>
    <w:rsid w:val="003C4AF3"/>
    <w:rPr>
      <w:rFonts w:ascii="Symbol" w:hAnsi="Symbol"/>
    </w:rPr>
  </w:style>
  <w:style w:type="character" w:customStyle="1" w:styleId="MenuOptions">
    <w:name w:val="Menu Options"/>
    <w:basedOn w:val="DefaultParagraphFont"/>
    <w:rsid w:val="003C4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AF3"/>
    <w:rPr>
      <w:b/>
    </w:rPr>
  </w:style>
  <w:style w:type="character" w:customStyle="1" w:styleId="Underlined">
    <w:name w:val="Underlined"/>
    <w:basedOn w:val="DefaultParagraphFont"/>
    <w:rsid w:val="003C4AF3"/>
    <w:rPr>
      <w:u w:val="single"/>
    </w:rPr>
  </w:style>
  <w:style w:type="paragraph" w:customStyle="1" w:styleId="TableBodyTextRight">
    <w:name w:val="Table Body Text Right"/>
    <w:basedOn w:val="TableBodyText"/>
    <w:rsid w:val="003C4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AF3"/>
    <w:rPr>
      <w:sz w:val="18"/>
    </w:rPr>
  </w:style>
  <w:style w:type="paragraph" w:customStyle="1" w:styleId="BodySmallRight">
    <w:name w:val="Body Small Right"/>
    <w:basedOn w:val="BodyTextRight"/>
    <w:rsid w:val="003C4AF3"/>
    <w:rPr>
      <w:sz w:val="18"/>
      <w:szCs w:val="18"/>
    </w:rPr>
  </w:style>
  <w:style w:type="paragraph" w:customStyle="1" w:styleId="MarginEdition">
    <w:name w:val="Margin Edition"/>
    <w:basedOn w:val="MarginNote"/>
    <w:rsid w:val="003C4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AF3"/>
    <w:rPr>
      <w:sz w:val="2"/>
      <w:szCs w:val="2"/>
    </w:rPr>
  </w:style>
  <w:style w:type="character" w:customStyle="1" w:styleId="Small">
    <w:name w:val="Small"/>
    <w:basedOn w:val="DefaultParagraphFont"/>
    <w:rsid w:val="003C4AF3"/>
    <w:rPr>
      <w:sz w:val="16"/>
    </w:rPr>
  </w:style>
  <w:style w:type="paragraph" w:customStyle="1" w:styleId="WideTable">
    <w:name w:val="Wide Table"/>
    <w:basedOn w:val="Normal"/>
    <w:rsid w:val="003C4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AF3"/>
  </w:style>
  <w:style w:type="paragraph" w:styleId="Quote">
    <w:name w:val="Quote"/>
    <w:basedOn w:val="Heading1"/>
    <w:link w:val="QuoteChar"/>
    <w:qFormat/>
    <w:rsid w:val="003C4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AF3"/>
    <w:pPr>
      <w:pageBreakBefore/>
    </w:pPr>
  </w:style>
  <w:style w:type="paragraph" w:customStyle="1" w:styleId="Border">
    <w:name w:val="Border"/>
    <w:basedOn w:val="Normal"/>
    <w:qFormat/>
    <w:rsid w:val="003C4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AF3"/>
    <w:rPr>
      <w:u w:val="single"/>
    </w:rPr>
  </w:style>
  <w:style w:type="character" w:customStyle="1" w:styleId="BoldandItalics">
    <w:name w:val="Bold and Italics"/>
    <w:qFormat/>
    <w:rsid w:val="003C4AF3"/>
    <w:rPr>
      <w:b/>
      <w:i/>
      <w:u w:val="none"/>
    </w:rPr>
  </w:style>
  <w:style w:type="paragraph" w:styleId="BalloonText">
    <w:name w:val="Balloon Text"/>
    <w:basedOn w:val="Normal"/>
    <w:link w:val="BalloonTextChar"/>
    <w:rsid w:val="003C4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AF3"/>
    <w:pPr>
      <w:spacing w:before="0" w:after="0"/>
    </w:pPr>
  </w:style>
  <w:style w:type="paragraph" w:customStyle="1" w:styleId="BodyTextBold">
    <w:name w:val="Body Text Bold"/>
    <w:basedOn w:val="BodyText"/>
    <w:qFormat/>
    <w:rsid w:val="003C4AF3"/>
    <w:rPr>
      <w:b/>
    </w:rPr>
  </w:style>
  <w:style w:type="character" w:styleId="Hyperlink">
    <w:name w:val="Hyperlink"/>
    <w:basedOn w:val="DefaultParagraphFont"/>
    <w:uiPriority w:val="99"/>
    <w:unhideWhenUsed/>
    <w:rsid w:val="00FC1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3368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AURBTA007 Provide mechanical support during cycling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2022-06-23T06:39:00Z</dcterms:created>
  <dcterms:modified xsi:type="dcterms:W3CDTF">2022-06-23T06:39:00Z</dcterms:modified>
</cp:coreProperties>
</file>