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728C" w:rsidP="00A672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AURBTA004 Assemble new boxed bicycles for retail sale</w:t>
      </w:r>
      <w:r>
        <w:fldChar w:fldCharType="end"/>
      </w:r>
    </w:p>
    <w:p w:rsidR="00A6728C" w:rsidP="00A6728C">
      <w:pPr>
        <w:pStyle w:val="Version"/>
        <w:sectPr w:rsidSect="00C72C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2C5C" w:rsidP="00C72C5C">
      <w:pPr>
        <w:pStyle w:val="SuperHeading"/>
      </w:pPr>
      <w:r w:rsidRPr="00C72C5C">
        <w:t>Assessment Requirements for AURBTA004 Assemble new boxed bicycles for retail sale</w:t>
      </w:r>
    </w:p>
    <w:p w:rsidR="00000000" w:rsidRPr="00C72C5C" w:rsidP="00C72C5C">
      <w:pPr>
        <w:pStyle w:val="Heading1"/>
      </w:pPr>
      <w:bookmarkStart w:id="1" w:name="O_775378"/>
      <w:bookmarkEnd w:id="1"/>
      <w:r w:rsidRPr="00C72C5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672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C5C" w:rsidP="00C72C5C">
            <w:pPr>
              <w:pStyle w:val="BodyText"/>
            </w:pPr>
            <w:r w:rsidRPr="00C72C5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C5C">
            <w:pPr>
              <w:pStyle w:val="BodyText"/>
              <w:rPr>
                <w:lang w:val="en-NZ"/>
              </w:rPr>
            </w:pPr>
            <w:r w:rsidRPr="00C72C5C">
              <w:rPr>
                <w:rStyle w:val="SpecialBold"/>
              </w:rPr>
              <w:t>Comment</w:t>
            </w:r>
          </w:p>
        </w:tc>
      </w:tr>
      <w:tr w:rsidTr="00A672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C5C">
            <w:pPr>
              <w:pStyle w:val="BodyText"/>
              <w:rPr>
                <w:lang w:val="en-NZ"/>
              </w:rPr>
            </w:pPr>
            <w:r w:rsidRPr="00C72C5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C5C" w:rsidP="00C72C5C">
            <w:pPr>
              <w:pStyle w:val="BodyText"/>
            </w:pPr>
            <w:r w:rsidRPr="00C72C5C">
              <w:t>New unit of competency.</w:t>
            </w:r>
          </w:p>
        </w:tc>
      </w:tr>
    </w:tbl>
    <w:p w:rsidR="00000000" w:rsidRPr="00C72C5C" w:rsidP="00C72C5C">
      <w:pPr>
        <w:pStyle w:val="BodyText"/>
      </w:pPr>
    </w:p>
    <w:p w:rsidR="00000000" w:rsidRPr="00C72C5C" w:rsidP="00C72C5C">
      <w:pPr>
        <w:pStyle w:val="AllowPageBreak"/>
      </w:pPr>
    </w:p>
    <w:p w:rsidR="00000000" w:rsidRPr="00C72C5C" w:rsidP="00C72C5C">
      <w:pPr>
        <w:pStyle w:val="Heading1"/>
      </w:pPr>
      <w:bookmarkStart w:id="2" w:name="O_775379"/>
      <w:bookmarkEnd w:id="2"/>
      <w:r w:rsidRPr="00C72C5C">
        <w:t>Performance Evidence</w:t>
      </w:r>
    </w:p>
    <w:p w:rsidR="00000000" w:rsidRPr="00C72C5C" w:rsidP="00A6728C">
      <w:pPr>
        <w:pStyle w:val="BodyText"/>
      </w:pPr>
      <w:r w:rsidRPr="00C72C5C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C72C5C" w:rsidP="00C72C5C">
      <w:pPr>
        <w:pStyle w:val="ListBullet"/>
      </w:pPr>
      <w:r w:rsidRPr="00C72C5C">
        <w:t>assemble three different new boxed</w:t>
      </w:r>
      <w:r w:rsidRPr="00C72C5C">
        <w:t xml:space="preserve"> bicycles for retail sale, including:</w:t>
      </w:r>
    </w:p>
    <w:p w:rsidR="00000000" w:rsidRPr="00C72C5C" w:rsidP="00C72C5C">
      <w:pPr>
        <w:pStyle w:val="ListBullet2"/>
      </w:pPr>
      <w:r w:rsidRPr="00C72C5C">
        <w:t>one with gears</w:t>
      </w:r>
    </w:p>
    <w:p w:rsidR="00000000" w:rsidRPr="00C72C5C" w:rsidP="00C72C5C">
      <w:pPr>
        <w:pStyle w:val="ListBullet2"/>
      </w:pPr>
      <w:r w:rsidRPr="00C72C5C">
        <w:t>one with disc brakes</w:t>
      </w:r>
    </w:p>
    <w:p w:rsidR="00000000" w:rsidRPr="00C72C5C" w:rsidP="00C72C5C">
      <w:pPr>
        <w:pStyle w:val="ListBullet"/>
      </w:pPr>
      <w:r w:rsidRPr="00C72C5C">
        <w:t>fit and adjust the following components during the above assemblies:</w:t>
      </w:r>
    </w:p>
    <w:p w:rsidR="00000000" w:rsidRPr="00C72C5C" w:rsidP="00C72C5C">
      <w:pPr>
        <w:pStyle w:val="ListBullet2"/>
      </w:pPr>
      <w:r w:rsidRPr="00C72C5C">
        <w:t>head stem and bearings</w:t>
      </w:r>
    </w:p>
    <w:p w:rsidR="00000000" w:rsidRPr="00C72C5C" w:rsidP="00C72C5C">
      <w:pPr>
        <w:pStyle w:val="ListBullet2"/>
      </w:pPr>
      <w:r w:rsidRPr="00C72C5C">
        <w:t>disc and rim brakes</w:t>
      </w:r>
    </w:p>
    <w:p w:rsidR="00000000" w:rsidRPr="00C72C5C" w:rsidP="00C72C5C">
      <w:pPr>
        <w:pStyle w:val="ListBullet2"/>
      </w:pPr>
      <w:r w:rsidRPr="00C72C5C">
        <w:t>seats</w:t>
      </w:r>
    </w:p>
    <w:p w:rsidR="00000000" w:rsidRPr="00C72C5C" w:rsidP="00C72C5C">
      <w:pPr>
        <w:pStyle w:val="ListBullet2"/>
      </w:pPr>
      <w:r w:rsidRPr="00C72C5C">
        <w:t>wheels</w:t>
      </w:r>
    </w:p>
    <w:p w:rsidR="00000000" w:rsidRPr="00C72C5C" w:rsidP="00C72C5C">
      <w:pPr>
        <w:pStyle w:val="ListBullet2"/>
      </w:pPr>
      <w:r w:rsidRPr="00C72C5C">
        <w:t xml:space="preserve">pedals </w:t>
      </w:r>
    </w:p>
    <w:p w:rsidR="00000000" w:rsidRPr="00C72C5C" w:rsidP="00C72C5C">
      <w:pPr>
        <w:pStyle w:val="ListBullet2"/>
      </w:pPr>
      <w:r w:rsidRPr="00C72C5C">
        <w:t>sprockets, gears and chains.</w:t>
      </w:r>
    </w:p>
    <w:p w:rsidR="00000000" w:rsidRPr="00C72C5C" w:rsidP="00C72C5C">
      <w:pPr>
        <w:pStyle w:val="AllowPageBreak"/>
      </w:pPr>
    </w:p>
    <w:p w:rsidR="00000000" w:rsidRPr="00C72C5C" w:rsidP="00C72C5C">
      <w:pPr>
        <w:pStyle w:val="Heading1"/>
      </w:pPr>
      <w:bookmarkStart w:id="3" w:name="O_775380"/>
      <w:bookmarkEnd w:id="3"/>
      <w:r w:rsidRPr="00C72C5C">
        <w:t>Knowledge Evidence</w:t>
      </w:r>
    </w:p>
    <w:p w:rsidR="00000000" w:rsidRPr="00C72C5C" w:rsidP="00A6728C">
      <w:pPr>
        <w:pStyle w:val="BodyText"/>
      </w:pPr>
      <w:r w:rsidRPr="00C72C5C">
        <w:t>Individuals must be able to demonstrate knowledge of:</w:t>
      </w:r>
    </w:p>
    <w:p w:rsidR="00000000" w:rsidRPr="00C72C5C" w:rsidP="00C72C5C">
      <w:pPr>
        <w:pStyle w:val="ListBullet"/>
      </w:pPr>
      <w:r w:rsidRPr="00C72C5C">
        <w:t>work health and safety (WHS) and occupational health and safety (OHS) requirements relating to assembling boxed bicycles, including procedures for manually handling bicycles</w:t>
      </w:r>
    </w:p>
    <w:p w:rsidR="00000000" w:rsidRPr="00C72C5C" w:rsidP="00C72C5C">
      <w:pPr>
        <w:pStyle w:val="ListBullet"/>
      </w:pPr>
      <w:r w:rsidRPr="00C72C5C">
        <w:t>environm</w:t>
      </w:r>
      <w:r w:rsidRPr="00C72C5C">
        <w:t>ental requirements, including procedures for:</w:t>
      </w:r>
    </w:p>
    <w:p w:rsidR="00000000" w:rsidRPr="00C72C5C" w:rsidP="00C72C5C">
      <w:pPr>
        <w:pStyle w:val="ListBullet2"/>
      </w:pPr>
      <w:r w:rsidRPr="00C72C5C">
        <w:t>trapping, storing and disposing of waste grease and oils</w:t>
      </w:r>
    </w:p>
    <w:p w:rsidR="00000000" w:rsidRPr="00C72C5C" w:rsidP="00C72C5C">
      <w:pPr>
        <w:pStyle w:val="ListBullet2"/>
      </w:pPr>
      <w:r w:rsidRPr="00C72C5C">
        <w:t>reusing or recycling surplus boxes</w:t>
      </w:r>
    </w:p>
    <w:p w:rsidR="00000000" w:rsidRPr="00C72C5C" w:rsidP="00C72C5C">
      <w:pPr>
        <w:pStyle w:val="ListBullet"/>
      </w:pPr>
      <w:r w:rsidRPr="00C72C5C">
        <w:t>Australian Competition and Consumer Commission (ACCC) product safety standards relating to assembling bicycles</w:t>
      </w:r>
    </w:p>
    <w:p w:rsidR="00000000" w:rsidRPr="00C72C5C" w:rsidP="00C72C5C">
      <w:pPr>
        <w:pStyle w:val="ListBullet"/>
      </w:pPr>
      <w:r w:rsidRPr="00C72C5C">
        <w:t>key bicycle component and accessory terminology</w:t>
      </w:r>
    </w:p>
    <w:p w:rsidR="00000000" w:rsidRPr="00C72C5C" w:rsidP="00C72C5C">
      <w:pPr>
        <w:pStyle w:val="ListBullet"/>
      </w:pPr>
      <w:r w:rsidRPr="00C72C5C">
        <w:t>types of bicycles and their key features</w:t>
      </w:r>
    </w:p>
    <w:p w:rsidR="00000000" w:rsidRPr="00C72C5C" w:rsidP="00C72C5C">
      <w:pPr>
        <w:pStyle w:val="ListBullet"/>
      </w:pPr>
      <w:r w:rsidRPr="00C72C5C">
        <w:t>procedures for assembling and adjusting bicycles, including:</w:t>
      </w:r>
    </w:p>
    <w:p w:rsidR="00000000" w:rsidRPr="00C72C5C" w:rsidP="00C72C5C">
      <w:pPr>
        <w:pStyle w:val="ListBullet2"/>
      </w:pPr>
      <w:r w:rsidRPr="00C72C5C">
        <w:t>types and use of bicycle assembly tools and equipment, including torque wrenches</w:t>
      </w:r>
    </w:p>
    <w:p w:rsidR="00000000" w:rsidRPr="00C72C5C" w:rsidP="00C72C5C">
      <w:pPr>
        <w:pStyle w:val="ListBullet2"/>
      </w:pPr>
      <w:r w:rsidRPr="00C72C5C">
        <w:t>bicycle measuring techni</w:t>
      </w:r>
      <w:r w:rsidRPr="00C72C5C">
        <w:t>ques</w:t>
      </w:r>
    </w:p>
    <w:p w:rsidR="00000000" w:rsidRPr="00C72C5C" w:rsidP="00C72C5C">
      <w:pPr>
        <w:pStyle w:val="ListBullet2"/>
      </w:pPr>
      <w:r w:rsidRPr="00C72C5C">
        <w:t>accessory and component fitting and adjustment procedures for the components specified in the performance evidence</w:t>
      </w:r>
    </w:p>
    <w:p w:rsidR="00000000" w:rsidRPr="00C72C5C" w:rsidP="00C72C5C">
      <w:pPr>
        <w:pStyle w:val="ListBullet2"/>
      </w:pPr>
      <w:r w:rsidRPr="00C72C5C">
        <w:t xml:space="preserve">greasing and lubrication procedures </w:t>
      </w:r>
    </w:p>
    <w:p w:rsidR="00000000" w:rsidRPr="00C72C5C" w:rsidP="00C72C5C">
      <w:pPr>
        <w:pStyle w:val="ListBullet"/>
      </w:pPr>
      <w:r w:rsidRPr="00C72C5C">
        <w:t>bicycle testing procedures, including post-assembly adjustment and safety checks.</w:t>
      </w:r>
    </w:p>
    <w:p w:rsidR="00000000" w:rsidRPr="00C72C5C" w:rsidP="00C72C5C">
      <w:pPr>
        <w:pStyle w:val="AllowPageBreak"/>
      </w:pPr>
    </w:p>
    <w:p w:rsidR="00000000" w:rsidRPr="00C72C5C" w:rsidP="00C72C5C">
      <w:pPr>
        <w:pStyle w:val="Heading1"/>
      </w:pPr>
      <w:bookmarkStart w:id="4" w:name="O_775381"/>
      <w:bookmarkEnd w:id="4"/>
      <w:r w:rsidRPr="00C72C5C">
        <w:t>Assessment Conditions</w:t>
      </w:r>
    </w:p>
    <w:p w:rsidR="00000000" w:rsidRPr="00C72C5C" w:rsidP="00A6728C">
      <w:pPr>
        <w:pStyle w:val="BodyText"/>
      </w:pPr>
      <w:r w:rsidRPr="00C72C5C">
        <w:t>Assessors must satisfy NVR/AQTF assessor requirements.</w:t>
      </w:r>
    </w:p>
    <w:p w:rsidR="00000000" w:rsidRPr="00C72C5C" w:rsidP="00A6728C">
      <w:pPr>
        <w:pStyle w:val="BodyText"/>
      </w:pPr>
      <w:r w:rsidRPr="00C72C5C">
        <w:t>Competency is to be assessed in the workplace or a simulated environment that accurately reflects performance in a real workplace setting.</w:t>
      </w:r>
    </w:p>
    <w:p w:rsidR="00000000" w:rsidRPr="00C72C5C" w:rsidP="00A6728C">
      <w:pPr>
        <w:pStyle w:val="BodyText"/>
      </w:pPr>
      <w:r w:rsidRPr="00C72C5C">
        <w:t>Assessment must include direct observation of tasks.</w:t>
      </w:r>
    </w:p>
    <w:p w:rsidR="00000000" w:rsidRPr="00C72C5C" w:rsidP="00A6728C">
      <w:pPr>
        <w:pStyle w:val="BodyText"/>
      </w:pPr>
      <w:r w:rsidRPr="00C72C5C">
        <w:t>Where assessment of competency includes third-party evidence, individuals must provide evidence that links them to the new boxed bicycles that they have assembled, e.g. bicycle assembly orders.</w:t>
      </w:r>
    </w:p>
    <w:p w:rsidR="00000000" w:rsidRPr="00C72C5C" w:rsidP="00A6728C">
      <w:pPr>
        <w:pStyle w:val="BodyText"/>
      </w:pPr>
      <w:r w:rsidRPr="00C72C5C">
        <w:t>Assesso</w:t>
      </w:r>
      <w:r w:rsidRPr="00C72C5C">
        <w:t>rs must verify performance evidence through questioning on skills and knowledge to ensure correct interpretation and application.</w:t>
      </w:r>
    </w:p>
    <w:p w:rsidR="00000000" w:rsidRPr="00C72C5C" w:rsidP="00A6728C">
      <w:pPr>
        <w:pStyle w:val="BodyText"/>
      </w:pPr>
      <w:r w:rsidRPr="00C72C5C">
        <w:t>The following resources must be made available:</w:t>
      </w:r>
    </w:p>
    <w:p w:rsidR="00000000" w:rsidRPr="00C72C5C" w:rsidP="00C72C5C">
      <w:pPr>
        <w:pStyle w:val="ListBullet"/>
      </w:pPr>
      <w:r w:rsidRPr="00C72C5C">
        <w:t>bicycle workplace or simulated workplace</w:t>
      </w:r>
    </w:p>
    <w:p w:rsidR="00000000" w:rsidRPr="00C72C5C" w:rsidP="00C72C5C">
      <w:pPr>
        <w:pStyle w:val="ListBullet"/>
      </w:pPr>
      <w:r w:rsidRPr="00C72C5C">
        <w:t>workplace instructions</w:t>
      </w:r>
    </w:p>
    <w:p w:rsidR="00000000" w:rsidRPr="00C72C5C" w:rsidP="00C72C5C">
      <w:pPr>
        <w:pStyle w:val="ListBullet"/>
      </w:pPr>
      <w:r w:rsidRPr="00C72C5C">
        <w:t>ACCC product</w:t>
      </w:r>
      <w:r w:rsidRPr="00C72C5C">
        <w:t xml:space="preserve"> safety standards relating to bicycles</w:t>
      </w:r>
    </w:p>
    <w:p w:rsidR="00000000" w:rsidRPr="00C72C5C" w:rsidP="00C72C5C">
      <w:pPr>
        <w:pStyle w:val="ListBullet"/>
      </w:pPr>
      <w:r w:rsidRPr="00C72C5C">
        <w:t>three different new boxed bicycles requiring assembly</w:t>
      </w:r>
    </w:p>
    <w:p w:rsidR="00000000" w:rsidRPr="00C72C5C" w:rsidP="00C72C5C">
      <w:pPr>
        <w:pStyle w:val="ListBullet"/>
      </w:pPr>
      <w:r w:rsidRPr="00C72C5C">
        <w:t>tools and equipment appropriate for assembling boxed bicycles.</w:t>
      </w:r>
    </w:p>
    <w:p w:rsidR="00000000" w:rsidRPr="00C72C5C" w:rsidP="00C72C5C">
      <w:pPr>
        <w:pStyle w:val="AllowPageBreak"/>
      </w:pPr>
    </w:p>
    <w:p w:rsidR="00000000" w:rsidRPr="00C72C5C" w:rsidP="00C72C5C">
      <w:pPr>
        <w:pStyle w:val="Heading1"/>
      </w:pPr>
      <w:bookmarkStart w:id="5" w:name="O_775384"/>
      <w:bookmarkEnd w:id="5"/>
      <w:r w:rsidRPr="00C72C5C">
        <w:t>Links</w:t>
      </w:r>
    </w:p>
    <w:p w:rsidR="00000000" w:rsidRPr="00C72C5C" w:rsidP="00A6728C">
      <w:pPr>
        <w:pStyle w:val="BodyText"/>
      </w:pPr>
      <w:r w:rsidRPr="00C72C5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2A7D9C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72C5C" w:rsidP="00A6728C">
      <w:pPr>
        <w:pStyle w:val="BodyText"/>
      </w:pPr>
      <w:r w:rsidRPr="00C72C5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2A7D9C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72C5C" w:rsidP="00C72C5C"/>
    <w:sectPr w:rsidSect="00C72C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C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C5C" w:rsidRPr="00A6728C" w:rsidP="00A672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C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28C" w:rsidP="00C72C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728C" w:rsidP="00C72C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728C" w:rsidP="00C72C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C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2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C5C" w:rsidRPr="00A6728C" w:rsidP="00A672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C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28C" w:rsidRPr="002D2AF8" w:rsidP="00C72C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AURBTA004 Assemble new boxed bicycles for retail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A6728C" w:rsidP="00C72C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8A61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A02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C897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C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C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C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C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C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C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C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C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C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C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C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C5C"/>
  </w:style>
  <w:style w:type="character" w:customStyle="1" w:styleId="Heading1Char">
    <w:name w:val="Heading 1 Char"/>
    <w:basedOn w:val="DefaultParagraphFont"/>
    <w:link w:val="Heading1"/>
    <w:rsid w:val="00C72C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C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C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2C5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2C5C"/>
    <w:rPr>
      <w:b/>
      <w:spacing w:val="0"/>
    </w:rPr>
  </w:style>
  <w:style w:type="paragraph" w:styleId="ListBullet2">
    <w:name w:val="List Bullet 2"/>
    <w:basedOn w:val="List2"/>
    <w:rsid w:val="00C72C5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2C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2C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2C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C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C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C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C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C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C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C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C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C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C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C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C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C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2C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2C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2C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C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C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2C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C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C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C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C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C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C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C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C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2C5C"/>
    <w:rPr>
      <w:i/>
    </w:rPr>
  </w:style>
  <w:style w:type="paragraph" w:styleId="Caption">
    <w:name w:val="caption"/>
    <w:basedOn w:val="BodyText"/>
    <w:next w:val="Normal"/>
    <w:qFormat/>
    <w:rsid w:val="00C72C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C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C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C5C"/>
  </w:style>
  <w:style w:type="paragraph" w:styleId="TableofFigures">
    <w:name w:val="table of figures"/>
    <w:basedOn w:val="Normal"/>
    <w:next w:val="Normal"/>
    <w:semiHidden/>
    <w:rsid w:val="00C72C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C5C"/>
    <w:pPr>
      <w:numPr>
        <w:numId w:val="11"/>
      </w:numPr>
    </w:pPr>
  </w:style>
  <w:style w:type="character" w:customStyle="1" w:styleId="WingdingSymbols">
    <w:name w:val="Wingding Symbols"/>
    <w:rsid w:val="00C72C5C"/>
    <w:rPr>
      <w:rFonts w:ascii="Wingdings" w:hAnsi="Wingdings"/>
    </w:rPr>
  </w:style>
  <w:style w:type="paragraph" w:customStyle="1" w:styleId="TableHeading">
    <w:name w:val="Table Heading"/>
    <w:basedOn w:val="HeadingBase"/>
    <w:rsid w:val="00C72C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2C5C"/>
    <w:rPr>
      <w:color w:val="0033CC"/>
      <w:u w:val="none"/>
    </w:rPr>
  </w:style>
  <w:style w:type="paragraph" w:customStyle="1" w:styleId="BodyTextRight">
    <w:name w:val="Body Text Right"/>
    <w:basedOn w:val="BodyText"/>
    <w:rsid w:val="00C72C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C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C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C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C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C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C5C"/>
    <w:rPr>
      <w:sz w:val="32"/>
    </w:rPr>
  </w:style>
  <w:style w:type="paragraph" w:customStyle="1" w:styleId="HeadingProcedure">
    <w:name w:val="Heading Procedure"/>
    <w:basedOn w:val="HeadingBase"/>
    <w:next w:val="Normal"/>
    <w:rsid w:val="00C72C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C5C"/>
    <w:pPr>
      <w:spacing w:before="60" w:after="60"/>
    </w:pPr>
  </w:style>
  <w:style w:type="paragraph" w:styleId="ListContinue">
    <w:name w:val="List Continue"/>
    <w:basedOn w:val="List"/>
    <w:rsid w:val="00C72C5C"/>
    <w:pPr>
      <w:ind w:firstLine="0"/>
    </w:pPr>
  </w:style>
  <w:style w:type="paragraph" w:customStyle="1" w:styleId="ListNote">
    <w:name w:val="List Note"/>
    <w:basedOn w:val="List"/>
    <w:rsid w:val="00C72C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C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C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C5C"/>
    <w:rPr>
      <w:rFonts w:ascii="Courier New" w:hAnsi="Courier New"/>
    </w:rPr>
  </w:style>
  <w:style w:type="paragraph" w:customStyle="1" w:styleId="NoteBullet">
    <w:name w:val="Note Bullet"/>
    <w:basedOn w:val="Note"/>
    <w:rsid w:val="00C72C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C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C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C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C5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72C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C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C5C"/>
    <w:rPr>
      <w:b/>
      <w:smallCaps/>
    </w:rPr>
  </w:style>
  <w:style w:type="paragraph" w:customStyle="1" w:styleId="TableListNumber">
    <w:name w:val="Table List Number"/>
    <w:basedOn w:val="ListNumber"/>
    <w:rsid w:val="00C72C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C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C5C"/>
    <w:pPr>
      <w:numPr>
        <w:numId w:val="9"/>
      </w:numPr>
    </w:pPr>
  </w:style>
  <w:style w:type="paragraph" w:customStyle="1" w:styleId="ListAlpha2">
    <w:name w:val="List Alpha 2"/>
    <w:basedOn w:val="List2"/>
    <w:rsid w:val="00C72C5C"/>
    <w:pPr>
      <w:numPr>
        <w:numId w:val="8"/>
      </w:numPr>
    </w:pPr>
  </w:style>
  <w:style w:type="paragraph" w:styleId="List2">
    <w:name w:val="List 2"/>
    <w:basedOn w:val="BodyText"/>
    <w:rsid w:val="00C72C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2C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C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C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2C5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2C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2C5C"/>
    <w:pPr>
      <w:numPr>
        <w:numId w:val="4"/>
      </w:numPr>
    </w:pPr>
  </w:style>
  <w:style w:type="paragraph" w:styleId="ListContinue2">
    <w:name w:val="List Continue 2"/>
    <w:basedOn w:val="List2"/>
    <w:rsid w:val="00C72C5C"/>
    <w:pPr>
      <w:ind w:firstLine="0"/>
    </w:pPr>
  </w:style>
  <w:style w:type="paragraph" w:styleId="ListContinue3">
    <w:name w:val="List Continue 3"/>
    <w:basedOn w:val="List3"/>
    <w:rsid w:val="00C72C5C"/>
    <w:pPr>
      <w:ind w:left="1021" w:firstLine="0"/>
    </w:pPr>
  </w:style>
  <w:style w:type="paragraph" w:styleId="ListContinue4">
    <w:name w:val="List Continue 4"/>
    <w:basedOn w:val="List4"/>
    <w:rsid w:val="00C72C5C"/>
    <w:pPr>
      <w:ind w:firstLine="0"/>
    </w:pPr>
  </w:style>
  <w:style w:type="paragraph" w:styleId="ListContinue5">
    <w:name w:val="List Continue 5"/>
    <w:basedOn w:val="List5"/>
    <w:rsid w:val="00C72C5C"/>
    <w:pPr>
      <w:ind w:firstLine="0"/>
    </w:pPr>
  </w:style>
  <w:style w:type="paragraph" w:styleId="ListNumber3">
    <w:name w:val="List Number 3"/>
    <w:basedOn w:val="List3"/>
    <w:rsid w:val="00C72C5C"/>
    <w:pPr>
      <w:numPr>
        <w:numId w:val="5"/>
      </w:numPr>
    </w:pPr>
  </w:style>
  <w:style w:type="paragraph" w:styleId="ListNumber4">
    <w:name w:val="List Number 4"/>
    <w:basedOn w:val="List4"/>
    <w:rsid w:val="00C72C5C"/>
    <w:pPr>
      <w:numPr>
        <w:numId w:val="6"/>
      </w:numPr>
    </w:pPr>
  </w:style>
  <w:style w:type="paragraph" w:styleId="ListNumber5">
    <w:name w:val="List Number 5"/>
    <w:basedOn w:val="List5"/>
    <w:rsid w:val="00C72C5C"/>
    <w:pPr>
      <w:numPr>
        <w:numId w:val="7"/>
      </w:numPr>
    </w:pPr>
  </w:style>
  <w:style w:type="paragraph" w:styleId="BlockText">
    <w:name w:val="Block Text"/>
    <w:basedOn w:val="Normal"/>
    <w:rsid w:val="00C72C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C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C5C"/>
    <w:rPr>
      <w:sz w:val="16"/>
      <w:vertAlign w:val="superscript"/>
    </w:rPr>
  </w:style>
  <w:style w:type="character" w:customStyle="1" w:styleId="Symbols">
    <w:name w:val="Symbols"/>
    <w:basedOn w:val="DefaultParagraphFont"/>
    <w:rsid w:val="00C72C5C"/>
    <w:rPr>
      <w:rFonts w:ascii="Symbol" w:hAnsi="Symbol"/>
    </w:rPr>
  </w:style>
  <w:style w:type="character" w:customStyle="1" w:styleId="MenuOptions">
    <w:name w:val="Menu Options"/>
    <w:basedOn w:val="DefaultParagraphFont"/>
    <w:rsid w:val="00C72C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C5C"/>
    <w:rPr>
      <w:b/>
    </w:rPr>
  </w:style>
  <w:style w:type="character" w:customStyle="1" w:styleId="Underlined">
    <w:name w:val="Underlined"/>
    <w:basedOn w:val="DefaultParagraphFont"/>
    <w:rsid w:val="00C72C5C"/>
    <w:rPr>
      <w:u w:val="single"/>
    </w:rPr>
  </w:style>
  <w:style w:type="paragraph" w:customStyle="1" w:styleId="TableBodyTextRight">
    <w:name w:val="Table Body Text Right"/>
    <w:basedOn w:val="TableBodyText"/>
    <w:rsid w:val="00C72C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C5C"/>
    <w:rPr>
      <w:sz w:val="18"/>
    </w:rPr>
  </w:style>
  <w:style w:type="paragraph" w:customStyle="1" w:styleId="BodySmallRight">
    <w:name w:val="Body Small Right"/>
    <w:basedOn w:val="BodyTextRight"/>
    <w:rsid w:val="00C72C5C"/>
    <w:rPr>
      <w:sz w:val="18"/>
      <w:szCs w:val="18"/>
    </w:rPr>
  </w:style>
  <w:style w:type="paragraph" w:customStyle="1" w:styleId="MarginEdition">
    <w:name w:val="Margin Edition"/>
    <w:basedOn w:val="MarginNote"/>
    <w:rsid w:val="00C72C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C5C"/>
    <w:rPr>
      <w:sz w:val="2"/>
      <w:szCs w:val="2"/>
    </w:rPr>
  </w:style>
  <w:style w:type="character" w:customStyle="1" w:styleId="Small">
    <w:name w:val="Small"/>
    <w:basedOn w:val="DefaultParagraphFont"/>
    <w:rsid w:val="00C72C5C"/>
    <w:rPr>
      <w:sz w:val="16"/>
    </w:rPr>
  </w:style>
  <w:style w:type="paragraph" w:customStyle="1" w:styleId="WideTable">
    <w:name w:val="Wide Table"/>
    <w:basedOn w:val="Normal"/>
    <w:rsid w:val="00C72C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C5C"/>
  </w:style>
  <w:style w:type="paragraph" w:styleId="Quote">
    <w:name w:val="Quote"/>
    <w:basedOn w:val="Heading1"/>
    <w:link w:val="QuoteChar"/>
    <w:qFormat/>
    <w:rsid w:val="00C72C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C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C5C"/>
    <w:pPr>
      <w:pageBreakBefore/>
    </w:pPr>
  </w:style>
  <w:style w:type="paragraph" w:customStyle="1" w:styleId="Border">
    <w:name w:val="Border"/>
    <w:basedOn w:val="Normal"/>
    <w:qFormat/>
    <w:rsid w:val="00C72C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C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C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C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C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C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C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C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C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C5C"/>
    <w:rPr>
      <w:u w:val="single"/>
    </w:rPr>
  </w:style>
  <w:style w:type="character" w:customStyle="1" w:styleId="BoldandItalics">
    <w:name w:val="Bold and Italics"/>
    <w:qFormat/>
    <w:rsid w:val="00C72C5C"/>
    <w:rPr>
      <w:b/>
      <w:i/>
      <w:u w:val="none"/>
    </w:rPr>
  </w:style>
  <w:style w:type="paragraph" w:styleId="BalloonText">
    <w:name w:val="Balloon Text"/>
    <w:basedOn w:val="Normal"/>
    <w:link w:val="BalloonTextChar"/>
    <w:rsid w:val="00C72C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C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C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C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C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C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C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672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407</Words>
  <Characters>2846</Characters>
  <Application>Microsoft Office Word</Application>
  <DocSecurity>0</DocSecurity>
  <Lines>86</Lines>
  <Paragraphs>61</Paragraphs>
  <ScaleCrop>false</ScaleCrop>
  <Company>Author-it Software Corporation Ltd.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AURBTA004 Assemble new boxed bicycles for retail sale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2018-12-07T01:05:00Z</dcterms:created>
  <dcterms:modified xsi:type="dcterms:W3CDTF">2018-12-07T01:05:00Z</dcterms:modified>
</cp:coreProperties>
</file>