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BC2" w:rsidP="00A61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AURASA002 Follow safe working practices in an automotive workplace</w:t>
      </w:r>
      <w:r>
        <w:fldChar w:fldCharType="end"/>
      </w:r>
    </w:p>
    <w:p w:rsidR="00A61BC2" w:rsidP="00A61BC2">
      <w:pPr>
        <w:pStyle w:val="Version"/>
        <w:sectPr w:rsidSect="00B004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4FA" w:rsidP="00B004FA">
      <w:pPr>
        <w:pStyle w:val="SuperHeading"/>
      </w:pPr>
      <w:r w:rsidRPr="00B004FA">
        <w:t>Assessment Requirements for AURASA002 Follow safe working practices in an automotive workplace</w:t>
      </w:r>
    </w:p>
    <w:p w:rsidR="00000000" w:rsidRPr="00B004FA" w:rsidP="00B004FA">
      <w:pPr>
        <w:pStyle w:val="Heading1"/>
      </w:pPr>
      <w:bookmarkStart w:id="1" w:name="O_796163"/>
      <w:bookmarkEnd w:id="1"/>
      <w:r w:rsidRPr="00B004F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61B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FA" w:rsidP="00B004FA">
            <w:pPr>
              <w:pStyle w:val="BodyText"/>
            </w:pPr>
            <w:r w:rsidRPr="00B004F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FA">
            <w:pPr>
              <w:pStyle w:val="BodyText"/>
              <w:rPr>
                <w:lang w:val="en-NZ"/>
              </w:rPr>
            </w:pPr>
            <w:r w:rsidRPr="00B004FA">
              <w:rPr>
                <w:rStyle w:val="SpecialBold"/>
              </w:rPr>
              <w:t>Comment</w:t>
            </w:r>
          </w:p>
        </w:tc>
      </w:tr>
      <w:tr w:rsidTr="00A61B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FA">
            <w:pPr>
              <w:pStyle w:val="BodyText"/>
              <w:rPr>
                <w:lang w:val="en-NZ"/>
              </w:rPr>
            </w:pPr>
            <w:r w:rsidRPr="00B004F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FA" w:rsidP="00B004FA">
            <w:pPr>
              <w:pStyle w:val="BodyText"/>
            </w:pPr>
            <w:r w:rsidRPr="00B004FA">
              <w:t>New unit of competency.</w:t>
            </w:r>
          </w:p>
        </w:tc>
      </w:tr>
    </w:tbl>
    <w:p w:rsidR="00000000" w:rsidRPr="00B004FA" w:rsidP="00B004FA">
      <w:pPr>
        <w:pStyle w:val="BodyText"/>
      </w:pPr>
    </w:p>
    <w:p w:rsidR="00000000" w:rsidRPr="00B004FA" w:rsidP="00B004FA">
      <w:pPr>
        <w:pStyle w:val="AllowPageBreak"/>
      </w:pPr>
    </w:p>
    <w:p w:rsidR="00000000" w:rsidRPr="00B004FA" w:rsidP="00B004FA">
      <w:pPr>
        <w:pStyle w:val="Heading1"/>
      </w:pPr>
      <w:bookmarkStart w:id="2" w:name="O_796164"/>
      <w:bookmarkEnd w:id="2"/>
      <w:r w:rsidRPr="00B004FA">
        <w:t>Performance Evidence</w:t>
      </w:r>
    </w:p>
    <w:p w:rsidR="00000000" w:rsidRPr="00B004FA" w:rsidP="00A61BC2">
      <w:pPr>
        <w:pStyle w:val="BodyText"/>
      </w:pPr>
      <w:r w:rsidRPr="00B004FA">
        <w:t>Before com</w:t>
      </w:r>
      <w:r w:rsidRPr="00B004FA">
        <w:t>petency can be determined, individuals must demonstrate they can perform the following according to the standard defined in the unit’s elements and performance criteria, range of conditions and foundation skills:</w:t>
      </w:r>
    </w:p>
    <w:p w:rsidR="00000000" w:rsidRPr="00B004FA" w:rsidP="00B004FA">
      <w:pPr>
        <w:pStyle w:val="ListBullet"/>
      </w:pPr>
      <w:r w:rsidRPr="00B004FA">
        <w:t>move two heavy items in an automotive work</w:t>
      </w:r>
      <w:r w:rsidRPr="00B004FA">
        <w:t>place</w:t>
      </w:r>
    </w:p>
    <w:p w:rsidR="00000000" w:rsidRPr="00B004FA" w:rsidP="00B004FA">
      <w:pPr>
        <w:pStyle w:val="ListBullet"/>
      </w:pPr>
      <w:r w:rsidRPr="00B004FA">
        <w:t>use two different dangerous goods in an automotive workplace</w:t>
      </w:r>
    </w:p>
    <w:p w:rsidR="00000000" w:rsidRPr="00B004FA" w:rsidP="00B004FA">
      <w:pPr>
        <w:pStyle w:val="ListBullet"/>
      </w:pPr>
      <w:r w:rsidRPr="00B004FA">
        <w:t>identify fire safety equipment and its correct application in an automotive workplace</w:t>
      </w:r>
    </w:p>
    <w:p w:rsidR="00000000" w:rsidRPr="00B004FA" w:rsidP="00B004FA">
      <w:pPr>
        <w:pStyle w:val="ListBullet"/>
      </w:pPr>
      <w:r w:rsidRPr="00B004FA">
        <w:t>identify emergency evacuation procedures and responsibilities of self and co-workers in an automotive workplace</w:t>
      </w:r>
    </w:p>
    <w:p w:rsidR="00000000" w:rsidRPr="00B004FA" w:rsidP="00B004FA">
      <w:pPr>
        <w:pStyle w:val="ListBullet"/>
      </w:pPr>
      <w:r w:rsidRPr="00B004FA">
        <w:t>raise a safety concern at either a work health and safety (WHS) or occupational health and safety (OHS) consultative meeting</w:t>
      </w:r>
    </w:p>
    <w:p w:rsidR="00000000" w:rsidRPr="00B004FA" w:rsidP="00B004FA">
      <w:pPr>
        <w:pStyle w:val="ListBullet"/>
      </w:pPr>
      <w:r w:rsidRPr="00B004FA">
        <w:t xml:space="preserve">carry out a hazard </w:t>
      </w:r>
      <w:r w:rsidRPr="00B004FA">
        <w:t xml:space="preserve">inspection in an automotive workplace </w:t>
      </w:r>
    </w:p>
    <w:p w:rsidR="00000000" w:rsidRPr="00B004FA" w:rsidP="00B004FA">
      <w:pPr>
        <w:pStyle w:val="ListBullet"/>
      </w:pPr>
      <w:r w:rsidRPr="00B004FA">
        <w:t>complete an incident report.</w:t>
      </w:r>
    </w:p>
    <w:p w:rsidR="00000000" w:rsidRPr="00B004FA" w:rsidP="00B004FA">
      <w:pPr>
        <w:pStyle w:val="AllowPageBreak"/>
      </w:pPr>
    </w:p>
    <w:p w:rsidR="00000000" w:rsidRPr="00B004FA" w:rsidP="00B004FA">
      <w:pPr>
        <w:pStyle w:val="Heading1"/>
      </w:pPr>
      <w:bookmarkStart w:id="3" w:name="O_796165"/>
      <w:bookmarkEnd w:id="3"/>
      <w:r w:rsidRPr="00B004FA">
        <w:t>Knowledge Evidence</w:t>
      </w:r>
    </w:p>
    <w:p w:rsidR="00000000" w:rsidRPr="00B004FA" w:rsidP="00A61BC2">
      <w:pPr>
        <w:pStyle w:val="BodyText"/>
      </w:pPr>
      <w:r w:rsidRPr="00B004FA">
        <w:t>Individuals must be able to demonstrate knowledge of:</w:t>
      </w:r>
    </w:p>
    <w:p w:rsidR="00000000" w:rsidRPr="00B004FA" w:rsidP="00B004FA">
      <w:pPr>
        <w:pStyle w:val="ListBullet"/>
      </w:pPr>
      <w:r w:rsidRPr="00B004FA">
        <w:t>basic aspects of relevant state or territory WHS or OHS legislation, including:</w:t>
      </w:r>
    </w:p>
    <w:p w:rsidR="00000000" w:rsidRPr="00B004FA" w:rsidP="00B004FA">
      <w:pPr>
        <w:pStyle w:val="ListBullet2"/>
      </w:pPr>
      <w:r w:rsidRPr="00B004FA">
        <w:t>employer respons</w:t>
      </w:r>
      <w:r w:rsidRPr="00B004FA">
        <w:t>ibilities for workplace practices</w:t>
      </w:r>
    </w:p>
    <w:p w:rsidR="00000000" w:rsidRPr="00B004FA" w:rsidP="00B004FA">
      <w:pPr>
        <w:pStyle w:val="ListBullet2"/>
      </w:pPr>
      <w:r w:rsidRPr="00B004FA">
        <w:t>employee responsibilities to participate in WHS practices</w:t>
      </w:r>
    </w:p>
    <w:p w:rsidR="00000000" w:rsidRPr="00B004FA" w:rsidP="00B004FA">
      <w:pPr>
        <w:pStyle w:val="ListBullet2"/>
      </w:pPr>
      <w:r w:rsidRPr="00B004FA">
        <w:t>employee responsibility to ensure own work practices protect the safety of self, other workers and other people in the workplace</w:t>
      </w:r>
    </w:p>
    <w:p w:rsidR="00000000" w:rsidRPr="00B004FA" w:rsidP="00B004FA">
      <w:pPr>
        <w:pStyle w:val="ListBullet"/>
      </w:pPr>
      <w:r w:rsidRPr="00B004FA">
        <w:t>purpose and structure of WHS or OH</w:t>
      </w:r>
      <w:r w:rsidRPr="00B004FA">
        <w:t>S workplace committees, including roles of workplace personnel</w:t>
      </w:r>
    </w:p>
    <w:p w:rsidR="00000000" w:rsidRPr="00B004FA" w:rsidP="00B004FA">
      <w:pPr>
        <w:pStyle w:val="ListBullet"/>
      </w:pPr>
      <w:r w:rsidRPr="00B004FA">
        <w:t>personal safety in an automotive workplace, including:</w:t>
      </w:r>
    </w:p>
    <w:p w:rsidR="00000000" w:rsidRPr="00B004FA" w:rsidP="00B004FA">
      <w:pPr>
        <w:pStyle w:val="ListBullet2"/>
      </w:pPr>
      <w:r w:rsidRPr="00B004FA">
        <w:t>hearing protection</w:t>
      </w:r>
    </w:p>
    <w:p w:rsidR="00000000" w:rsidRPr="00B004FA" w:rsidP="00B004FA">
      <w:pPr>
        <w:pStyle w:val="ListBullet2"/>
      </w:pPr>
      <w:r w:rsidRPr="00B004FA">
        <w:t>skin protection</w:t>
      </w:r>
    </w:p>
    <w:p w:rsidR="00000000" w:rsidRPr="00B004FA" w:rsidP="00B004FA">
      <w:pPr>
        <w:pStyle w:val="ListBullet2"/>
      </w:pPr>
      <w:r w:rsidRPr="00B004FA">
        <w:t>protective clothing</w:t>
      </w:r>
    </w:p>
    <w:p w:rsidR="00000000" w:rsidRPr="00B004FA" w:rsidP="00B004FA">
      <w:pPr>
        <w:pStyle w:val="ListBullet2"/>
      </w:pPr>
      <w:r w:rsidRPr="00B004FA">
        <w:t>protective footwear</w:t>
      </w:r>
    </w:p>
    <w:p w:rsidR="00000000" w:rsidRPr="00B004FA" w:rsidP="00B004FA">
      <w:pPr>
        <w:pStyle w:val="ListBullet2"/>
      </w:pPr>
      <w:r w:rsidRPr="00B004FA">
        <w:t>eye protection</w:t>
      </w:r>
    </w:p>
    <w:p w:rsidR="00000000" w:rsidRPr="00B004FA" w:rsidP="00B004FA">
      <w:pPr>
        <w:pStyle w:val="ListBullet"/>
      </w:pPr>
      <w:r w:rsidRPr="00B004FA">
        <w:t>manual handling, including:</w:t>
      </w:r>
    </w:p>
    <w:p w:rsidR="00000000" w:rsidRPr="00B004FA" w:rsidP="00B004FA">
      <w:pPr>
        <w:pStyle w:val="ListBullet2"/>
      </w:pPr>
      <w:r w:rsidRPr="00B004FA">
        <w:t>storing items</w:t>
      </w:r>
    </w:p>
    <w:p w:rsidR="00000000" w:rsidRPr="00B004FA" w:rsidP="00B004FA">
      <w:pPr>
        <w:pStyle w:val="ListBullet2"/>
      </w:pPr>
      <w:r w:rsidRPr="00B004FA">
        <w:t>planning the lift</w:t>
      </w:r>
    </w:p>
    <w:p w:rsidR="00000000" w:rsidRPr="00B004FA" w:rsidP="00B004FA">
      <w:pPr>
        <w:pStyle w:val="ListBullet2"/>
      </w:pPr>
      <w:r w:rsidRPr="00B004FA">
        <w:t>using correct lifting techniques and equipment</w:t>
      </w:r>
    </w:p>
    <w:p w:rsidR="00000000" w:rsidRPr="00B004FA" w:rsidP="00B004FA">
      <w:pPr>
        <w:pStyle w:val="ListBullet"/>
      </w:pPr>
      <w:r w:rsidRPr="00B004FA">
        <w:t>workplace practices, including:</w:t>
      </w:r>
    </w:p>
    <w:p w:rsidR="00000000" w:rsidRPr="00B004FA" w:rsidP="00B004FA">
      <w:pPr>
        <w:pStyle w:val="ListBullet2"/>
      </w:pPr>
      <w:r w:rsidRPr="00B004FA">
        <w:t>housekeeping</w:t>
      </w:r>
    </w:p>
    <w:p w:rsidR="00000000" w:rsidRPr="00B004FA" w:rsidP="00B004FA">
      <w:pPr>
        <w:pStyle w:val="ListBullet2"/>
      </w:pPr>
      <w:r w:rsidRPr="00B004FA">
        <w:t>observing personal hygiene</w:t>
      </w:r>
    </w:p>
    <w:p w:rsidR="00000000" w:rsidRPr="00B004FA" w:rsidP="00B004FA">
      <w:pPr>
        <w:pStyle w:val="ListBullet2"/>
      </w:pPr>
      <w:r w:rsidRPr="00B004FA">
        <w:t>identifying slip hazards and trip hazards</w:t>
      </w:r>
    </w:p>
    <w:p w:rsidR="00000000" w:rsidRPr="00B004FA" w:rsidP="00B004FA">
      <w:pPr>
        <w:pStyle w:val="ListBullet"/>
      </w:pPr>
      <w:r w:rsidRPr="00B004FA">
        <w:t>meaning of WHS or OHS symbols and signs</w:t>
      </w:r>
    </w:p>
    <w:p w:rsidR="00000000" w:rsidRPr="00B004FA" w:rsidP="00B004FA">
      <w:pPr>
        <w:pStyle w:val="ListBullet"/>
      </w:pPr>
      <w:r w:rsidRPr="00B004FA">
        <w:t>machine and equipment safety, including:</w:t>
      </w:r>
    </w:p>
    <w:p w:rsidR="00000000" w:rsidRPr="00B004FA" w:rsidP="00B004FA">
      <w:pPr>
        <w:pStyle w:val="ListBullet2"/>
      </w:pPr>
      <w:r w:rsidRPr="00B004FA">
        <w:t>using compressed air</w:t>
      </w:r>
    </w:p>
    <w:p w:rsidR="00000000" w:rsidRPr="00B004FA" w:rsidP="00B004FA">
      <w:pPr>
        <w:pStyle w:val="ListBullet2"/>
      </w:pPr>
      <w:r w:rsidRPr="00B004FA">
        <w:t>using machine guards</w:t>
      </w:r>
    </w:p>
    <w:p w:rsidR="00000000" w:rsidRPr="00B004FA" w:rsidP="00B004FA">
      <w:pPr>
        <w:pStyle w:val="ListBullet2"/>
      </w:pPr>
      <w:r w:rsidRPr="00B004FA">
        <w:t>electrical tools, including:</w:t>
      </w:r>
    </w:p>
    <w:p w:rsidR="00000000" w:rsidRPr="00B004FA" w:rsidP="00B004FA">
      <w:pPr>
        <w:pStyle w:val="ListBullet2"/>
      </w:pPr>
      <w:r w:rsidRPr="00B004FA">
        <w:t>checking before use</w:t>
      </w:r>
    </w:p>
    <w:p w:rsidR="00000000" w:rsidRPr="00B004FA" w:rsidP="00B004FA">
      <w:pPr>
        <w:pStyle w:val="ListBullet2"/>
      </w:pPr>
      <w:r w:rsidRPr="00B004FA">
        <w:t>faulty equipment tagging and isolation procedures</w:t>
      </w:r>
    </w:p>
    <w:p w:rsidR="00000000" w:rsidRPr="00B004FA" w:rsidP="00B004FA">
      <w:pPr>
        <w:pStyle w:val="ListBullet2"/>
      </w:pPr>
      <w:r w:rsidRPr="00B004FA">
        <w:t>dangers of using electrical tools around water</w:t>
      </w:r>
    </w:p>
    <w:p w:rsidR="00000000" w:rsidRPr="00B004FA" w:rsidP="00B004FA">
      <w:pPr>
        <w:pStyle w:val="ListBullet2"/>
      </w:pPr>
      <w:r w:rsidRPr="00B004FA">
        <w:t>vehicle lifting equipment,</w:t>
      </w:r>
      <w:r w:rsidRPr="00B004FA">
        <w:t xml:space="preserve"> including:</w:t>
      </w:r>
    </w:p>
    <w:p w:rsidR="00000000" w:rsidRPr="00B004FA" w:rsidP="00B004FA">
      <w:pPr>
        <w:pStyle w:val="ListBullet2"/>
      </w:pPr>
      <w:r w:rsidRPr="00B004FA">
        <w:t>using jacks and stands</w:t>
      </w:r>
    </w:p>
    <w:p w:rsidR="00000000" w:rsidRPr="00B004FA" w:rsidP="00B004FA">
      <w:pPr>
        <w:pStyle w:val="ListBullet2"/>
      </w:pPr>
      <w:r w:rsidRPr="00B004FA">
        <w:t>using hoists</w:t>
      </w:r>
    </w:p>
    <w:p w:rsidR="00000000" w:rsidRPr="00B004FA" w:rsidP="00B004FA">
      <w:pPr>
        <w:pStyle w:val="ListBullet2"/>
      </w:pPr>
      <w:r w:rsidRPr="00B004FA">
        <w:t>safe working load (SWL) of jacks and hoists</w:t>
      </w:r>
    </w:p>
    <w:p w:rsidR="00000000" w:rsidRPr="00B004FA" w:rsidP="00B004FA">
      <w:pPr>
        <w:pStyle w:val="ListBullet"/>
      </w:pPr>
      <w:r w:rsidRPr="00B004FA">
        <w:t>vehicle safety, including:</w:t>
      </w:r>
    </w:p>
    <w:p w:rsidR="00000000" w:rsidRPr="00B004FA" w:rsidP="00B004FA">
      <w:pPr>
        <w:pStyle w:val="ListBullet2"/>
      </w:pPr>
      <w:r w:rsidRPr="00B004FA">
        <w:t>engine moving parts</w:t>
      </w:r>
    </w:p>
    <w:p w:rsidR="00000000" w:rsidRPr="00B004FA" w:rsidP="00B004FA">
      <w:pPr>
        <w:pStyle w:val="ListBullet2"/>
      </w:pPr>
      <w:r w:rsidRPr="00B004FA">
        <w:t>engine and exhaust hot components</w:t>
      </w:r>
    </w:p>
    <w:p w:rsidR="00000000" w:rsidRPr="00B004FA" w:rsidP="00B004FA">
      <w:pPr>
        <w:pStyle w:val="ListBullet2"/>
      </w:pPr>
      <w:r w:rsidRPr="00B004FA">
        <w:t>electrical hazards associated with:</w:t>
      </w:r>
    </w:p>
    <w:p w:rsidR="00000000" w:rsidRPr="00B004FA" w:rsidP="00B004FA">
      <w:pPr>
        <w:pStyle w:val="ListBullet3"/>
      </w:pPr>
      <w:r w:rsidRPr="00B004FA">
        <w:t>high voltage ignition systems</w:t>
      </w:r>
    </w:p>
    <w:p w:rsidR="00000000" w:rsidRPr="00B004FA" w:rsidP="00B004FA">
      <w:pPr>
        <w:pStyle w:val="ListBullet3"/>
      </w:pPr>
      <w:r w:rsidRPr="00B004FA">
        <w:t>wearing jewellery while working around high current wiring systems</w:t>
      </w:r>
    </w:p>
    <w:p w:rsidR="00000000" w:rsidRPr="00B004FA" w:rsidP="00B004FA">
      <w:pPr>
        <w:pStyle w:val="ListBullet2"/>
      </w:pPr>
      <w:r w:rsidRPr="00B004FA">
        <w:t>batteries</w:t>
      </w:r>
    </w:p>
    <w:p w:rsidR="00000000" w:rsidRPr="00B004FA" w:rsidP="00B004FA">
      <w:pPr>
        <w:pStyle w:val="ListBullet2"/>
      </w:pPr>
      <w:r w:rsidRPr="00B004FA">
        <w:t>fuel, including petrol, diesel and natural and petroleum gas</w:t>
      </w:r>
    </w:p>
    <w:p w:rsidR="00000000" w:rsidRPr="00B004FA" w:rsidP="00B004FA">
      <w:pPr>
        <w:pStyle w:val="ListBullet2"/>
      </w:pPr>
      <w:r w:rsidRPr="00B004FA">
        <w:t>high voltage in battery electrical and hybrid vehicles</w:t>
      </w:r>
    </w:p>
    <w:p w:rsidR="00000000" w:rsidRPr="00B004FA" w:rsidP="00B004FA">
      <w:pPr>
        <w:pStyle w:val="ListBullet"/>
      </w:pPr>
      <w:r w:rsidRPr="00B004FA">
        <w:t>hazardous materials, including handling and storing:</w:t>
      </w:r>
    </w:p>
    <w:p w:rsidR="00000000" w:rsidRPr="00B004FA" w:rsidP="00B004FA">
      <w:pPr>
        <w:pStyle w:val="ListBullet2"/>
      </w:pPr>
      <w:r w:rsidRPr="00B004FA">
        <w:t>oils</w:t>
      </w:r>
    </w:p>
    <w:p w:rsidR="00000000" w:rsidRPr="00B004FA" w:rsidP="00B004FA">
      <w:pPr>
        <w:pStyle w:val="ListBullet2"/>
      </w:pPr>
      <w:r w:rsidRPr="00B004FA">
        <w:t>brake fluid</w:t>
      </w:r>
    </w:p>
    <w:p w:rsidR="00000000" w:rsidRPr="00B004FA" w:rsidP="00B004FA">
      <w:pPr>
        <w:pStyle w:val="ListBullet2"/>
      </w:pPr>
      <w:r w:rsidRPr="00B004FA">
        <w:t>brake dust</w:t>
      </w:r>
    </w:p>
    <w:p w:rsidR="00000000" w:rsidRPr="00B004FA" w:rsidP="00B004FA">
      <w:pPr>
        <w:pStyle w:val="ListBullet2"/>
      </w:pPr>
      <w:r w:rsidRPr="00B004FA">
        <w:t>chemicals</w:t>
      </w:r>
    </w:p>
    <w:p w:rsidR="00000000" w:rsidRPr="00B004FA" w:rsidP="00B004FA">
      <w:pPr>
        <w:pStyle w:val="ListBullet2"/>
      </w:pPr>
      <w:r w:rsidRPr="00B004FA">
        <w:t>cleaning products</w:t>
      </w:r>
    </w:p>
    <w:p w:rsidR="00000000" w:rsidRPr="00B004FA" w:rsidP="00B004FA">
      <w:pPr>
        <w:pStyle w:val="ListBullet2"/>
      </w:pPr>
      <w:r w:rsidRPr="00B004FA">
        <w:t>safety data sheets (SDS)</w:t>
      </w:r>
    </w:p>
    <w:p w:rsidR="00000000" w:rsidRPr="00B004FA" w:rsidP="00B004FA">
      <w:pPr>
        <w:pStyle w:val="ListBullet"/>
      </w:pPr>
      <w:r w:rsidRPr="00B004FA">
        <w:t>emergency procedures, including:</w:t>
      </w:r>
    </w:p>
    <w:p w:rsidR="00000000" w:rsidRPr="00B004FA" w:rsidP="00B004FA">
      <w:pPr>
        <w:pStyle w:val="ListBullet2"/>
      </w:pPr>
      <w:r w:rsidRPr="00B004FA">
        <w:t>personnel responsibilities</w:t>
      </w:r>
    </w:p>
    <w:p w:rsidR="00000000" w:rsidRPr="00B004FA" w:rsidP="00B004FA">
      <w:pPr>
        <w:pStyle w:val="ListBullet2"/>
      </w:pPr>
      <w:r w:rsidRPr="00B004FA">
        <w:t>evacuation procedures and assembly points.</w:t>
      </w:r>
    </w:p>
    <w:p w:rsidR="00000000" w:rsidRPr="00B004FA" w:rsidP="00B004FA">
      <w:pPr>
        <w:pStyle w:val="AllowPageBreak"/>
      </w:pPr>
    </w:p>
    <w:p w:rsidR="00000000" w:rsidRPr="00B004FA" w:rsidP="00B004FA">
      <w:pPr>
        <w:pStyle w:val="Heading1"/>
      </w:pPr>
      <w:bookmarkStart w:id="4" w:name="O_796166"/>
      <w:bookmarkEnd w:id="4"/>
      <w:r w:rsidRPr="00B004FA">
        <w:t>Assessment Conditions</w:t>
      </w:r>
    </w:p>
    <w:p w:rsidR="00000000" w:rsidRPr="00B004FA" w:rsidP="00A61BC2">
      <w:pPr>
        <w:pStyle w:val="BodyText"/>
      </w:pPr>
      <w:r w:rsidRPr="00B004FA">
        <w:t>Assessors must satisfy NVR/AQTF asse</w:t>
      </w:r>
      <w:r w:rsidRPr="00B004FA">
        <w:t>ssor requirements.</w:t>
      </w:r>
    </w:p>
    <w:p w:rsidR="00000000" w:rsidRPr="00B004FA" w:rsidP="00A61BC2">
      <w:pPr>
        <w:pStyle w:val="BodyText"/>
      </w:pPr>
      <w:r w:rsidRPr="00B004FA">
        <w:t>Competency is to be assessed in the workplace or a simulated environment that accurately reflects performance in a real workplace setting.</w:t>
      </w:r>
    </w:p>
    <w:p w:rsidR="00000000" w:rsidRPr="00B004FA" w:rsidP="00A61BC2">
      <w:pPr>
        <w:pStyle w:val="BodyText"/>
      </w:pPr>
      <w:r w:rsidRPr="00B004FA">
        <w:t>Assessment must include direct observation of tasks.</w:t>
      </w:r>
    </w:p>
    <w:p w:rsidR="00000000" w:rsidRPr="00B004FA" w:rsidP="00A61BC2">
      <w:pPr>
        <w:pStyle w:val="BodyText"/>
      </w:pPr>
      <w:r w:rsidRPr="00B004FA">
        <w:t>Where assessment of competency includes third-party evidence, individuals must provide evidence that links them to having followed safe work practices while working in an automotive workplace, e.g. documented hazard inspection or incident report.</w:t>
      </w:r>
    </w:p>
    <w:p w:rsidR="00000000" w:rsidRPr="00B004FA" w:rsidP="00A61BC2">
      <w:pPr>
        <w:pStyle w:val="BodyText"/>
      </w:pPr>
      <w:r w:rsidRPr="00B004FA">
        <w:t>Assessor</w:t>
      </w:r>
      <w:r w:rsidRPr="00B004FA">
        <w:t>s must verify performance evidence through questioning on skills and knowledge to ensure correct interpretation and application.</w:t>
      </w:r>
    </w:p>
    <w:p w:rsidR="00000000" w:rsidRPr="00B004FA" w:rsidP="00A61BC2">
      <w:pPr>
        <w:pStyle w:val="BodyText"/>
      </w:pPr>
      <w:r w:rsidRPr="00B004FA">
        <w:t>The following resources must be made available:</w:t>
      </w:r>
    </w:p>
    <w:p w:rsidR="00000000" w:rsidRPr="00B004FA" w:rsidP="00B004FA">
      <w:pPr>
        <w:pStyle w:val="ListBullet"/>
      </w:pPr>
      <w:r w:rsidRPr="00B004FA">
        <w:t>automotive workplace or simulated workplace</w:t>
      </w:r>
    </w:p>
    <w:p w:rsidR="00000000" w:rsidRPr="00B004FA" w:rsidP="00B004FA">
      <w:pPr>
        <w:pStyle w:val="ListBullet"/>
      </w:pPr>
      <w:r w:rsidRPr="00B004FA">
        <w:t>workplace procedures and instruct</w:t>
      </w:r>
      <w:r w:rsidRPr="00B004FA">
        <w:t>ions relating to safe work practices</w:t>
      </w:r>
    </w:p>
    <w:p w:rsidR="00000000" w:rsidRPr="00B004FA" w:rsidP="00B004FA">
      <w:pPr>
        <w:pStyle w:val="ListBullet"/>
      </w:pPr>
      <w:r w:rsidRPr="00B004FA">
        <w:t>workplace safety and emergency evacuation procedures</w:t>
      </w:r>
    </w:p>
    <w:p w:rsidR="00000000" w:rsidRPr="00B004FA" w:rsidP="00B004FA">
      <w:pPr>
        <w:pStyle w:val="ListBullet"/>
      </w:pPr>
      <w:r w:rsidRPr="00B004FA">
        <w:t>hazardous chemicals and dangerous goods information</w:t>
      </w:r>
    </w:p>
    <w:p w:rsidR="00000000" w:rsidRPr="00B004FA" w:rsidP="00B004FA">
      <w:pPr>
        <w:pStyle w:val="ListBullet"/>
      </w:pPr>
      <w:r w:rsidRPr="00B004FA">
        <w:t>safety materials and equipment relevant to an automotive workplace</w:t>
      </w:r>
    </w:p>
    <w:p w:rsidR="00000000" w:rsidRPr="00B004FA" w:rsidP="00B004FA">
      <w:pPr>
        <w:pStyle w:val="ListBullet"/>
      </w:pPr>
      <w:r w:rsidRPr="00B004FA">
        <w:t xml:space="preserve">fire safety equipment </w:t>
      </w:r>
    </w:p>
    <w:p w:rsidR="00000000" w:rsidRPr="00B004FA" w:rsidP="00B004FA">
      <w:pPr>
        <w:pStyle w:val="ListBullet"/>
      </w:pPr>
      <w:r w:rsidRPr="00B004FA">
        <w:t xml:space="preserve">documents for recording </w:t>
      </w:r>
      <w:r w:rsidRPr="00B004FA">
        <w:t>workplace safety, accidents and incidents.</w:t>
      </w:r>
    </w:p>
    <w:p w:rsidR="00000000" w:rsidRPr="00B004FA" w:rsidP="00B004FA">
      <w:pPr>
        <w:pStyle w:val="AllowPageBreak"/>
      </w:pPr>
    </w:p>
    <w:p w:rsidR="00000000" w:rsidRPr="00B004FA" w:rsidP="00B004FA">
      <w:pPr>
        <w:pStyle w:val="Heading1"/>
      </w:pPr>
      <w:bookmarkStart w:id="5" w:name="O_796169"/>
      <w:bookmarkEnd w:id="5"/>
      <w:r w:rsidRPr="00B004FA">
        <w:t>Links</w:t>
      </w:r>
    </w:p>
    <w:p w:rsidR="00000000" w:rsidRPr="00B004FA" w:rsidP="00A61BC2">
      <w:pPr>
        <w:pStyle w:val="BodyText"/>
      </w:pPr>
      <w:r w:rsidRPr="00B004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1552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004FA" w:rsidP="00A61BC2">
      <w:pPr>
        <w:pStyle w:val="BodyText"/>
      </w:pPr>
      <w:r w:rsidRPr="00B004FA">
        <w:t>Companion Volume implementation guides are f</w:t>
      </w:r>
      <w:r w:rsidRPr="00B004FA">
        <w:t xml:space="preserve">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1552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004FA" w:rsidP="00B004FA"/>
    <w:sectPr w:rsidSect="00B004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FA" w:rsidRPr="00A61BC2" w:rsidP="00A61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BC2" w:rsidP="00B004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1BC2" w:rsidP="00B004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1BC2" w:rsidP="00B004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B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4FA" w:rsidRPr="00A61BC2" w:rsidP="00A61B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BC2" w:rsidRPr="002D2AF8" w:rsidP="00B004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AURASA002 Follow safe working practices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A61BC2" w:rsidP="00B004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AE5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AA9A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D4A6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4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4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4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4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4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4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4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4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4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4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4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4FA"/>
  </w:style>
  <w:style w:type="character" w:customStyle="1" w:styleId="Heading1Char">
    <w:name w:val="Heading 1 Char"/>
    <w:basedOn w:val="DefaultParagraphFont"/>
    <w:link w:val="Heading1"/>
    <w:rsid w:val="00B004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4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4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4F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04FA"/>
    <w:rPr>
      <w:b/>
      <w:spacing w:val="0"/>
    </w:rPr>
  </w:style>
  <w:style w:type="paragraph" w:styleId="ListBullet2">
    <w:name w:val="List Bullet 2"/>
    <w:basedOn w:val="List2"/>
    <w:rsid w:val="00B004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04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4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004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004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4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4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4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4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4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4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4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4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4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4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4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4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4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4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4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04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4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4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04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4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4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4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4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4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4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4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4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04FA"/>
    <w:rPr>
      <w:i/>
    </w:rPr>
  </w:style>
  <w:style w:type="paragraph" w:styleId="Caption">
    <w:name w:val="caption"/>
    <w:basedOn w:val="BodyText"/>
    <w:next w:val="Normal"/>
    <w:qFormat/>
    <w:rsid w:val="00B004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4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4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4FA"/>
  </w:style>
  <w:style w:type="paragraph" w:styleId="TableofFigures">
    <w:name w:val="table of figures"/>
    <w:basedOn w:val="Normal"/>
    <w:next w:val="Normal"/>
    <w:semiHidden/>
    <w:rsid w:val="00B004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4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004FA"/>
    <w:rPr>
      <w:rFonts w:ascii="Wingdings" w:hAnsi="Wingdings"/>
    </w:rPr>
  </w:style>
  <w:style w:type="paragraph" w:customStyle="1" w:styleId="TableHeading">
    <w:name w:val="Table Heading"/>
    <w:basedOn w:val="HeadingBase"/>
    <w:rsid w:val="00B004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4FA"/>
    <w:rPr>
      <w:color w:val="0033CC"/>
      <w:u w:val="none"/>
    </w:rPr>
  </w:style>
  <w:style w:type="paragraph" w:customStyle="1" w:styleId="BodyTextRight">
    <w:name w:val="Body Text Right"/>
    <w:basedOn w:val="BodyText"/>
    <w:rsid w:val="00B004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4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4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4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4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4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4FA"/>
    <w:rPr>
      <w:sz w:val="32"/>
    </w:rPr>
  </w:style>
  <w:style w:type="paragraph" w:customStyle="1" w:styleId="HeadingProcedure">
    <w:name w:val="Heading Procedure"/>
    <w:basedOn w:val="HeadingBase"/>
    <w:next w:val="Normal"/>
    <w:rsid w:val="00B004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4FA"/>
    <w:pPr>
      <w:spacing w:before="60" w:after="60"/>
    </w:pPr>
  </w:style>
  <w:style w:type="paragraph" w:styleId="ListContinue">
    <w:name w:val="List Continue"/>
    <w:basedOn w:val="List"/>
    <w:rsid w:val="00B004FA"/>
    <w:pPr>
      <w:ind w:firstLine="0"/>
    </w:pPr>
  </w:style>
  <w:style w:type="paragraph" w:customStyle="1" w:styleId="ListNote">
    <w:name w:val="List Note"/>
    <w:basedOn w:val="List"/>
    <w:rsid w:val="00B004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4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4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4FA"/>
    <w:rPr>
      <w:rFonts w:ascii="Courier New" w:hAnsi="Courier New"/>
    </w:rPr>
  </w:style>
  <w:style w:type="paragraph" w:customStyle="1" w:styleId="NoteBullet">
    <w:name w:val="Note Bullet"/>
    <w:basedOn w:val="Note"/>
    <w:rsid w:val="00B004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4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4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4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4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004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4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4FA"/>
    <w:rPr>
      <w:b/>
      <w:smallCaps/>
    </w:rPr>
  </w:style>
  <w:style w:type="paragraph" w:customStyle="1" w:styleId="TableListNumber">
    <w:name w:val="Table List Number"/>
    <w:basedOn w:val="ListNumber"/>
    <w:rsid w:val="00B004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4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4FA"/>
    <w:pPr>
      <w:numPr>
        <w:numId w:val="10"/>
      </w:numPr>
    </w:pPr>
  </w:style>
  <w:style w:type="paragraph" w:customStyle="1" w:styleId="ListAlpha2">
    <w:name w:val="List Alpha 2"/>
    <w:basedOn w:val="List2"/>
    <w:rsid w:val="00B004FA"/>
    <w:pPr>
      <w:numPr>
        <w:numId w:val="9"/>
      </w:numPr>
    </w:pPr>
  </w:style>
  <w:style w:type="paragraph" w:styleId="List2">
    <w:name w:val="List 2"/>
    <w:basedOn w:val="BodyText"/>
    <w:rsid w:val="00B004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4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4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4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004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004FA"/>
    <w:pPr>
      <w:numPr>
        <w:numId w:val="5"/>
      </w:numPr>
    </w:pPr>
  </w:style>
  <w:style w:type="paragraph" w:styleId="ListContinue2">
    <w:name w:val="List Continue 2"/>
    <w:basedOn w:val="List2"/>
    <w:rsid w:val="00B004FA"/>
    <w:pPr>
      <w:ind w:firstLine="0"/>
    </w:pPr>
  </w:style>
  <w:style w:type="paragraph" w:styleId="ListContinue3">
    <w:name w:val="List Continue 3"/>
    <w:basedOn w:val="List3"/>
    <w:rsid w:val="00B004FA"/>
    <w:pPr>
      <w:ind w:left="1021" w:firstLine="0"/>
    </w:pPr>
  </w:style>
  <w:style w:type="paragraph" w:styleId="ListContinue4">
    <w:name w:val="List Continue 4"/>
    <w:basedOn w:val="List4"/>
    <w:rsid w:val="00B004FA"/>
    <w:pPr>
      <w:ind w:firstLine="0"/>
    </w:pPr>
  </w:style>
  <w:style w:type="paragraph" w:styleId="ListContinue5">
    <w:name w:val="List Continue 5"/>
    <w:basedOn w:val="List5"/>
    <w:rsid w:val="00B004FA"/>
    <w:pPr>
      <w:ind w:firstLine="0"/>
    </w:pPr>
  </w:style>
  <w:style w:type="paragraph" w:styleId="ListNumber3">
    <w:name w:val="List Number 3"/>
    <w:basedOn w:val="List3"/>
    <w:rsid w:val="00B004FA"/>
    <w:pPr>
      <w:numPr>
        <w:numId w:val="6"/>
      </w:numPr>
    </w:pPr>
  </w:style>
  <w:style w:type="paragraph" w:styleId="ListNumber4">
    <w:name w:val="List Number 4"/>
    <w:basedOn w:val="List4"/>
    <w:rsid w:val="00B004FA"/>
    <w:pPr>
      <w:numPr>
        <w:numId w:val="7"/>
      </w:numPr>
    </w:pPr>
  </w:style>
  <w:style w:type="paragraph" w:styleId="ListNumber5">
    <w:name w:val="List Number 5"/>
    <w:basedOn w:val="List5"/>
    <w:rsid w:val="00B004FA"/>
    <w:pPr>
      <w:numPr>
        <w:numId w:val="8"/>
      </w:numPr>
    </w:pPr>
  </w:style>
  <w:style w:type="paragraph" w:styleId="BlockText">
    <w:name w:val="Block Text"/>
    <w:basedOn w:val="Normal"/>
    <w:rsid w:val="00B004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4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4FA"/>
    <w:rPr>
      <w:sz w:val="16"/>
      <w:vertAlign w:val="superscript"/>
    </w:rPr>
  </w:style>
  <w:style w:type="character" w:customStyle="1" w:styleId="Symbols">
    <w:name w:val="Symbols"/>
    <w:basedOn w:val="DefaultParagraphFont"/>
    <w:rsid w:val="00B004FA"/>
    <w:rPr>
      <w:rFonts w:ascii="Symbol" w:hAnsi="Symbol"/>
    </w:rPr>
  </w:style>
  <w:style w:type="character" w:customStyle="1" w:styleId="MenuOptions">
    <w:name w:val="Menu Options"/>
    <w:basedOn w:val="DefaultParagraphFont"/>
    <w:rsid w:val="00B004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4FA"/>
    <w:rPr>
      <w:b/>
    </w:rPr>
  </w:style>
  <w:style w:type="character" w:customStyle="1" w:styleId="Underlined">
    <w:name w:val="Underlined"/>
    <w:basedOn w:val="DefaultParagraphFont"/>
    <w:rsid w:val="00B004FA"/>
    <w:rPr>
      <w:u w:val="single"/>
    </w:rPr>
  </w:style>
  <w:style w:type="paragraph" w:customStyle="1" w:styleId="TableBodyTextRight">
    <w:name w:val="Table Body Text Right"/>
    <w:basedOn w:val="TableBodyText"/>
    <w:rsid w:val="00B004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4FA"/>
    <w:rPr>
      <w:sz w:val="18"/>
    </w:rPr>
  </w:style>
  <w:style w:type="paragraph" w:customStyle="1" w:styleId="BodySmallRight">
    <w:name w:val="Body Small Right"/>
    <w:basedOn w:val="BodyTextRight"/>
    <w:rsid w:val="00B004FA"/>
    <w:rPr>
      <w:sz w:val="18"/>
      <w:szCs w:val="18"/>
    </w:rPr>
  </w:style>
  <w:style w:type="paragraph" w:customStyle="1" w:styleId="MarginEdition">
    <w:name w:val="Margin Edition"/>
    <w:basedOn w:val="MarginNote"/>
    <w:rsid w:val="00B004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4FA"/>
    <w:rPr>
      <w:sz w:val="2"/>
      <w:szCs w:val="2"/>
    </w:rPr>
  </w:style>
  <w:style w:type="character" w:customStyle="1" w:styleId="Small">
    <w:name w:val="Small"/>
    <w:basedOn w:val="DefaultParagraphFont"/>
    <w:rsid w:val="00B004FA"/>
    <w:rPr>
      <w:sz w:val="16"/>
    </w:rPr>
  </w:style>
  <w:style w:type="paragraph" w:customStyle="1" w:styleId="WideTable">
    <w:name w:val="Wide Table"/>
    <w:basedOn w:val="Normal"/>
    <w:rsid w:val="00B004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4FA"/>
  </w:style>
  <w:style w:type="paragraph" w:styleId="Quote">
    <w:name w:val="Quote"/>
    <w:basedOn w:val="Heading1"/>
    <w:link w:val="QuoteChar"/>
    <w:qFormat/>
    <w:rsid w:val="00B004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4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4FA"/>
    <w:pPr>
      <w:pageBreakBefore/>
    </w:pPr>
  </w:style>
  <w:style w:type="paragraph" w:customStyle="1" w:styleId="Border">
    <w:name w:val="Border"/>
    <w:basedOn w:val="Normal"/>
    <w:qFormat/>
    <w:rsid w:val="00B004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4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4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4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4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4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4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4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4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4FA"/>
    <w:rPr>
      <w:u w:val="single"/>
    </w:rPr>
  </w:style>
  <w:style w:type="character" w:customStyle="1" w:styleId="BoldandItalics">
    <w:name w:val="Bold and Italics"/>
    <w:qFormat/>
    <w:rsid w:val="00B004FA"/>
    <w:rPr>
      <w:b/>
      <w:i/>
      <w:u w:val="none"/>
    </w:rPr>
  </w:style>
  <w:style w:type="paragraph" w:styleId="BalloonText">
    <w:name w:val="Balloon Text"/>
    <w:basedOn w:val="Normal"/>
    <w:link w:val="BalloonTextChar"/>
    <w:rsid w:val="00B00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4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4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4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4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4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4FA"/>
    <w:pPr>
      <w:spacing w:before="0" w:after="0"/>
    </w:pPr>
  </w:style>
  <w:style w:type="paragraph" w:customStyle="1" w:styleId="BodyTextBold">
    <w:name w:val="Body Text Bold"/>
    <w:basedOn w:val="BodyText"/>
    <w:qFormat/>
    <w:rsid w:val="00B004FA"/>
    <w:rPr>
      <w:b/>
    </w:rPr>
  </w:style>
  <w:style w:type="character" w:styleId="Hyperlink">
    <w:name w:val="Hyperlink"/>
    <w:basedOn w:val="DefaultParagraphFont"/>
    <w:uiPriority w:val="99"/>
    <w:unhideWhenUsed/>
    <w:rsid w:val="00A61B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3932</Characters>
  <Application>Microsoft Office Word</Application>
  <DocSecurity>0</DocSecurity>
  <Lines>119</Lines>
  <Paragraphs>102</Paragraphs>
  <ScaleCrop>false</ScaleCrop>
  <Company>Author-it Software Corporation Ltd.</Company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AURASA002 Follow safe working practices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2022-07-07T06:20:00Z</dcterms:created>
  <dcterms:modified xsi:type="dcterms:W3CDTF">2022-07-07T06:20:00Z</dcterms:modified>
</cp:coreProperties>
</file>