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C42" w:rsidP="00A93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AUMGTW006 Machine Parts</w:t>
      </w:r>
      <w:r>
        <w:fldChar w:fldCharType="end"/>
      </w:r>
    </w:p>
    <w:p w:rsidR="00A93C42" w:rsidP="00A93C42">
      <w:pPr>
        <w:pStyle w:val="Version"/>
        <w:sectPr w:rsidSect="002D6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A98" w:rsidP="002D6A98">
      <w:pPr>
        <w:pStyle w:val="SuperHeading"/>
      </w:pPr>
      <w:r w:rsidRPr="002D6A98">
        <w:t>Assessment Requirements for AUMGTW006 Machine Parts</w:t>
      </w:r>
    </w:p>
    <w:p w:rsidR="00000000" w:rsidRPr="002D6A98" w:rsidP="002D6A98">
      <w:pPr>
        <w:pStyle w:val="Heading1"/>
      </w:pPr>
      <w:bookmarkStart w:id="1" w:name="O_575868"/>
      <w:bookmarkEnd w:id="1"/>
      <w:r w:rsidRPr="002D6A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93C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98" w:rsidP="002D6A98">
            <w:pPr>
              <w:pStyle w:val="BodyText"/>
            </w:pPr>
            <w:r w:rsidRPr="002D6A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98">
            <w:pPr>
              <w:pStyle w:val="BodyText"/>
              <w:rPr>
                <w:lang w:val="en-NZ"/>
              </w:rPr>
            </w:pPr>
            <w:r w:rsidRPr="002D6A98">
              <w:rPr>
                <w:rStyle w:val="SpecialBold"/>
              </w:rPr>
              <w:t>Comment</w:t>
            </w:r>
          </w:p>
        </w:tc>
      </w:tr>
      <w:tr w:rsidTr="00A93C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98">
            <w:pPr>
              <w:pStyle w:val="BodyText"/>
              <w:rPr>
                <w:lang w:val="en-NZ"/>
              </w:rPr>
            </w:pPr>
            <w:r w:rsidRPr="002D6A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98" w:rsidP="002D6A98">
            <w:pPr>
              <w:pStyle w:val="BodyText"/>
            </w:pPr>
            <w:r w:rsidRPr="002D6A98">
              <w:t>Unit updated to reflect the new standards for Training Packages</w:t>
            </w:r>
          </w:p>
          <w:p w:rsidR="00000000" w:rsidRPr="002D6A98" w:rsidP="002D6A98">
            <w:pPr>
              <w:pStyle w:val="BodyText"/>
            </w:pPr>
            <w:r w:rsidRPr="002D6A98">
              <w:t>Replaces AUMGTW3006 Machine parts</w:t>
            </w:r>
          </w:p>
        </w:tc>
      </w:tr>
    </w:tbl>
    <w:p w:rsidR="00000000" w:rsidRPr="002D6A98" w:rsidP="002D6A98">
      <w:pPr>
        <w:pStyle w:val="BodyText"/>
      </w:pPr>
    </w:p>
    <w:p w:rsidR="00000000" w:rsidRPr="002D6A98" w:rsidP="002D6A98">
      <w:pPr>
        <w:pStyle w:val="AllowPageBreak"/>
      </w:pPr>
    </w:p>
    <w:p w:rsidR="00000000" w:rsidRPr="002D6A98" w:rsidP="002D6A98">
      <w:pPr>
        <w:pStyle w:val="Heading1"/>
      </w:pPr>
      <w:bookmarkStart w:id="2" w:name="O_575869"/>
      <w:bookmarkEnd w:id="2"/>
      <w:r w:rsidRPr="002D6A98">
        <w:t>Performance Evidence</w:t>
      </w:r>
    </w:p>
    <w:p w:rsidR="00000000" w:rsidRPr="002D6A98" w:rsidP="00A93C42">
      <w:pPr>
        <w:pStyle w:val="BodyText"/>
      </w:pPr>
      <w:r w:rsidRPr="002D6A98">
        <w:t>Before competency can be determined, individuals must have com</w:t>
      </w:r>
      <w:r w:rsidRPr="002D6A98">
        <w:t>petently machined parts on a minimum of two occasions.</w:t>
      </w:r>
    </w:p>
    <w:p w:rsidR="00000000" w:rsidRPr="002D6A98" w:rsidP="00A93C42">
      <w:pPr>
        <w:pStyle w:val="BodyText"/>
      </w:pPr>
      <w:r w:rsidRPr="002D6A98">
        <w:t xml:space="preserve">Individuals must demonstrate they can: </w:t>
      </w:r>
    </w:p>
    <w:p w:rsidR="00000000" w:rsidRPr="002D6A98" w:rsidP="002D6A98">
      <w:pPr>
        <w:pStyle w:val="ListBullet"/>
      </w:pPr>
      <w:r w:rsidRPr="002D6A98">
        <w:t>identify machining requirements from work sheets and work instructions</w:t>
      </w:r>
    </w:p>
    <w:p w:rsidR="00000000" w:rsidRPr="002D6A98" w:rsidP="002D6A98">
      <w:pPr>
        <w:pStyle w:val="ListBullet"/>
      </w:pPr>
      <w:r w:rsidRPr="002D6A98">
        <w:t>prepare and calibrate machining equipment and set speed and feed for the work to be performed according to workplace procedures and work health and safety (WHS) requirements</w:t>
      </w:r>
    </w:p>
    <w:p w:rsidR="00000000" w:rsidRPr="002D6A98" w:rsidP="002D6A98">
      <w:pPr>
        <w:pStyle w:val="ListBullet"/>
      </w:pPr>
      <w:r w:rsidRPr="002D6A98">
        <w:t xml:space="preserve">operate machining equipment according to workplace procedures, applicable welding </w:t>
      </w:r>
      <w:r w:rsidRPr="002D6A98">
        <w:t>standards, and WHS requirements</w:t>
      </w:r>
    </w:p>
    <w:p w:rsidR="00000000" w:rsidRPr="002D6A98" w:rsidP="002D6A98">
      <w:pPr>
        <w:pStyle w:val="ListBullet"/>
      </w:pPr>
      <w:r w:rsidRPr="002D6A98">
        <w:t>check machining work is to job specifications and tolerances and identify and rectify faults</w:t>
      </w:r>
    </w:p>
    <w:p w:rsidR="00000000" w:rsidRPr="002D6A98" w:rsidP="002D6A98">
      <w:pPr>
        <w:pStyle w:val="ListBullet"/>
      </w:pPr>
      <w:r w:rsidRPr="002D6A98">
        <w:t>clean work area, and maintain and store machining equipment according to workplace procedures and WHS requirements</w:t>
      </w:r>
    </w:p>
    <w:p w:rsidR="00000000" w:rsidRPr="002D6A98" w:rsidP="002D6A98">
      <w:pPr>
        <w:pStyle w:val="ListBullet"/>
      </w:pPr>
      <w:r w:rsidRPr="002D6A98">
        <w:t>complete machini</w:t>
      </w:r>
      <w:r w:rsidRPr="002D6A98">
        <w:t>ng work sheets.</w:t>
      </w:r>
    </w:p>
    <w:p w:rsidR="00000000" w:rsidRPr="002D6A98" w:rsidP="002D6A98">
      <w:pPr>
        <w:pStyle w:val="AllowPageBreak"/>
      </w:pPr>
    </w:p>
    <w:p w:rsidR="00000000" w:rsidRPr="002D6A98" w:rsidP="002D6A98">
      <w:pPr>
        <w:pStyle w:val="Heading1"/>
      </w:pPr>
      <w:bookmarkStart w:id="3" w:name="O_575870"/>
      <w:bookmarkEnd w:id="3"/>
      <w:r w:rsidRPr="002D6A98">
        <w:t>Knowledge Evidence</w:t>
      </w:r>
    </w:p>
    <w:p w:rsidR="00000000" w:rsidRPr="002D6A98" w:rsidP="00A93C42">
      <w:pPr>
        <w:pStyle w:val="BodyText"/>
      </w:pPr>
      <w:r w:rsidRPr="002D6A98">
        <w:t>Individuals must be able to demonstrate knowledge of:</w:t>
      </w:r>
    </w:p>
    <w:p w:rsidR="00000000" w:rsidRPr="002D6A98" w:rsidP="002D6A98">
      <w:pPr>
        <w:pStyle w:val="ListBullet"/>
      </w:pPr>
      <w:r w:rsidRPr="002D6A98">
        <w:t>WHS requirements relating to machining parts:</w:t>
      </w:r>
    </w:p>
    <w:p w:rsidR="00000000" w:rsidRPr="002D6A98" w:rsidP="002D6A98">
      <w:pPr>
        <w:pStyle w:val="ListBullet2"/>
      </w:pPr>
      <w:r w:rsidRPr="002D6A98">
        <w:t>personal protective equipment (PPE) relevant to the machining equipment</w:t>
      </w:r>
    </w:p>
    <w:p w:rsidR="00000000" w:rsidRPr="002D6A98" w:rsidP="002D6A98">
      <w:pPr>
        <w:pStyle w:val="ListBullet2"/>
      </w:pPr>
      <w:r w:rsidRPr="002D6A98">
        <w:t>methods to apply to ensure saf</w:t>
      </w:r>
      <w:r w:rsidRPr="002D6A98">
        <w:t>e and efficient operation of machining equipment</w:t>
      </w:r>
    </w:p>
    <w:p w:rsidR="00000000" w:rsidRPr="002D6A98" w:rsidP="002D6A98">
      <w:pPr>
        <w:pStyle w:val="ListBullet"/>
      </w:pPr>
      <w:r w:rsidRPr="002D6A98">
        <w:t>types, applications and operation of common automotive production machining equipment</w:t>
      </w:r>
    </w:p>
    <w:p w:rsidR="00000000" w:rsidRPr="002D6A98" w:rsidP="002D6A98">
      <w:pPr>
        <w:pStyle w:val="ListBullet"/>
      </w:pPr>
      <w:r w:rsidRPr="002D6A98">
        <w:t>causes of machining defects and methods of fault rectification.</w:t>
      </w:r>
    </w:p>
    <w:p w:rsidR="00000000" w:rsidRPr="002D6A98" w:rsidP="002D6A98">
      <w:pPr>
        <w:pStyle w:val="AllowPageBreak"/>
      </w:pPr>
    </w:p>
    <w:p w:rsidR="00000000" w:rsidRPr="002D6A98" w:rsidP="002D6A98">
      <w:pPr>
        <w:pStyle w:val="Heading1"/>
      </w:pPr>
      <w:bookmarkStart w:id="4" w:name="O_575871"/>
      <w:bookmarkEnd w:id="4"/>
      <w:r w:rsidRPr="002D6A98">
        <w:t>Assessment Conditions</w:t>
      </w:r>
    </w:p>
    <w:p w:rsidR="00000000" w:rsidRPr="002D6A98" w:rsidP="00A93C42">
      <w:pPr>
        <w:pStyle w:val="BodyText"/>
      </w:pPr>
      <w:r w:rsidRPr="002D6A98">
        <w:t>Assessors must satisfy SNR/AQTF assessor requirements.</w:t>
      </w:r>
    </w:p>
    <w:p w:rsidR="00000000" w:rsidRPr="002D6A98" w:rsidP="00A93C42">
      <w:pPr>
        <w:pStyle w:val="BodyText"/>
      </w:pPr>
      <w:r w:rsidRPr="002D6A98">
        <w:t>Competency is to be assessed in the workplace or a simulated environment that accurately reflects performance in a real workplace setting.</w:t>
      </w:r>
    </w:p>
    <w:p w:rsidR="00000000" w:rsidRPr="002D6A98" w:rsidP="00A93C42">
      <w:pPr>
        <w:pStyle w:val="BodyText"/>
      </w:pPr>
      <w:r w:rsidRPr="002D6A98">
        <w:t xml:space="preserve">Where assessment of competency includes third-party evidence, </w:t>
      </w:r>
      <w:r w:rsidRPr="002D6A98">
        <w:t>individuals must provide evidence that links them to the parts that they have machined, e.g. production work sheets.</w:t>
      </w:r>
    </w:p>
    <w:p w:rsidR="00000000" w:rsidRPr="002D6A98" w:rsidP="00A93C42">
      <w:pPr>
        <w:pStyle w:val="BodyText"/>
      </w:pPr>
      <w:r w:rsidRPr="002D6A98">
        <w:t>Assessors must verify performance evidence through questioning on skills and knowledge to ensure correct interpretation and application.</w:t>
      </w:r>
    </w:p>
    <w:p w:rsidR="00000000" w:rsidRPr="002D6A98" w:rsidP="00A93C42">
      <w:pPr>
        <w:pStyle w:val="BodyText"/>
      </w:pPr>
      <w:r w:rsidRPr="002D6A98">
        <w:t>Th</w:t>
      </w:r>
      <w:r w:rsidRPr="002D6A98">
        <w:t>e following resources must be made available:</w:t>
      </w:r>
    </w:p>
    <w:p w:rsidR="00000000" w:rsidRPr="002D6A98" w:rsidP="002D6A98">
      <w:pPr>
        <w:pStyle w:val="ListBullet"/>
      </w:pPr>
      <w:r w:rsidRPr="002D6A98">
        <w:t>manufacturing workplace or simulated workplace</w:t>
      </w:r>
    </w:p>
    <w:p w:rsidR="00000000" w:rsidRPr="002D6A98" w:rsidP="002D6A98">
      <w:pPr>
        <w:pStyle w:val="ListBullet"/>
      </w:pPr>
      <w:r w:rsidRPr="002D6A98">
        <w:t>working drawings and part specifications</w:t>
      </w:r>
    </w:p>
    <w:p w:rsidR="00000000" w:rsidRPr="002D6A98" w:rsidP="002D6A98">
      <w:pPr>
        <w:pStyle w:val="ListBullet"/>
      </w:pPr>
      <w:r w:rsidRPr="002D6A98">
        <w:t>materials for machining</w:t>
      </w:r>
    </w:p>
    <w:p w:rsidR="00000000" w:rsidRPr="002D6A98" w:rsidP="002D6A98">
      <w:pPr>
        <w:pStyle w:val="ListBullet"/>
      </w:pPr>
      <w:r w:rsidRPr="002D6A98">
        <w:t>machining tools and equipment</w:t>
      </w:r>
    </w:p>
    <w:p w:rsidR="00000000" w:rsidRPr="002D6A98" w:rsidP="002D6A98">
      <w:pPr>
        <w:pStyle w:val="ListBullet"/>
      </w:pPr>
      <w:r w:rsidRPr="002D6A98">
        <w:t>machining equipment operating procedures</w:t>
      </w:r>
    </w:p>
    <w:p w:rsidR="00000000" w:rsidRPr="002D6A98" w:rsidP="002D6A98">
      <w:pPr>
        <w:pStyle w:val="ListBullet"/>
      </w:pPr>
      <w:r w:rsidRPr="002D6A98">
        <w:t>measuring equipment releva</w:t>
      </w:r>
      <w:r w:rsidRPr="002D6A98">
        <w:t>nt to machining parts</w:t>
      </w:r>
    </w:p>
    <w:p w:rsidR="00000000" w:rsidRPr="002D6A98" w:rsidP="002D6A98">
      <w:pPr>
        <w:pStyle w:val="ListBullet"/>
      </w:pPr>
      <w:r w:rsidRPr="002D6A98">
        <w:t>personal protective equipment relevant to the machining equipment being used.</w:t>
      </w:r>
    </w:p>
    <w:p w:rsidR="00000000" w:rsidRPr="002D6A98" w:rsidP="002D6A98">
      <w:pPr>
        <w:pStyle w:val="AllowPageBreak"/>
      </w:pPr>
    </w:p>
    <w:p w:rsidR="00000000" w:rsidRPr="002D6A98" w:rsidP="002D6A98">
      <w:pPr>
        <w:pStyle w:val="Heading1"/>
      </w:pPr>
      <w:bookmarkStart w:id="5" w:name="O_575873"/>
      <w:bookmarkEnd w:id="5"/>
      <w:r w:rsidRPr="002D6A98">
        <w:t>Links</w:t>
      </w:r>
    </w:p>
    <w:p w:rsidR="00000000" w:rsidRPr="002D6A98" w:rsidP="00A93C42">
      <w:pPr>
        <w:pStyle w:val="BodyText"/>
      </w:pPr>
      <w:r w:rsidRPr="002D6A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034E7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D6A98" w:rsidP="00A93C42">
      <w:pPr>
        <w:pStyle w:val="BodyText"/>
      </w:pPr>
      <w:r w:rsidRPr="002D6A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034E7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D6A98" w:rsidP="002D6A98"/>
    <w:sectPr w:rsidSect="002D6A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98" w:rsidRPr="00A93C42" w:rsidP="00A93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42" w:rsidP="002D6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C42" w:rsidP="002D6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C42" w:rsidP="002D6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A98" w:rsidRPr="00A93C42" w:rsidP="00A93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42" w:rsidRPr="002D2AF8" w:rsidP="002D6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AUMGTW006 Machine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A93C42" w:rsidP="002D6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08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4A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2A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A98"/>
  </w:style>
  <w:style w:type="character" w:customStyle="1" w:styleId="Heading1Char">
    <w:name w:val="Heading 1 Char"/>
    <w:basedOn w:val="DefaultParagraphFont"/>
    <w:link w:val="Heading1"/>
    <w:rsid w:val="002D6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A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A98"/>
    <w:rPr>
      <w:b/>
      <w:spacing w:val="0"/>
    </w:rPr>
  </w:style>
  <w:style w:type="paragraph" w:styleId="ListBullet2">
    <w:name w:val="List Bullet 2"/>
    <w:basedOn w:val="List2"/>
    <w:rsid w:val="002D6A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A98"/>
    <w:rPr>
      <w:i/>
    </w:rPr>
  </w:style>
  <w:style w:type="paragraph" w:styleId="Caption">
    <w:name w:val="caption"/>
    <w:basedOn w:val="BodyText"/>
    <w:next w:val="Normal"/>
    <w:qFormat/>
    <w:rsid w:val="002D6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A98"/>
  </w:style>
  <w:style w:type="paragraph" w:styleId="TableofFigures">
    <w:name w:val="table of figures"/>
    <w:basedOn w:val="Normal"/>
    <w:next w:val="Normal"/>
    <w:semiHidden/>
    <w:rsid w:val="002D6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A98"/>
    <w:pPr>
      <w:numPr>
        <w:numId w:val="11"/>
      </w:numPr>
    </w:pPr>
  </w:style>
  <w:style w:type="character" w:customStyle="1" w:styleId="WingdingSymbols">
    <w:name w:val="Wingding Symbols"/>
    <w:rsid w:val="002D6A98"/>
    <w:rPr>
      <w:rFonts w:ascii="Wingdings" w:hAnsi="Wingdings"/>
    </w:rPr>
  </w:style>
  <w:style w:type="paragraph" w:customStyle="1" w:styleId="TableHeading">
    <w:name w:val="Table Heading"/>
    <w:basedOn w:val="HeadingBase"/>
    <w:rsid w:val="002D6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A98"/>
    <w:rPr>
      <w:color w:val="0033CC"/>
      <w:u w:val="none"/>
    </w:rPr>
  </w:style>
  <w:style w:type="paragraph" w:customStyle="1" w:styleId="BodyTextRight">
    <w:name w:val="Body Text Right"/>
    <w:basedOn w:val="BodyText"/>
    <w:rsid w:val="002D6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A98"/>
    <w:rPr>
      <w:sz w:val="32"/>
    </w:rPr>
  </w:style>
  <w:style w:type="paragraph" w:customStyle="1" w:styleId="HeadingProcedure">
    <w:name w:val="Heading Procedure"/>
    <w:basedOn w:val="HeadingBase"/>
    <w:next w:val="Normal"/>
    <w:rsid w:val="002D6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A98"/>
    <w:pPr>
      <w:spacing w:before="60" w:after="60"/>
    </w:pPr>
  </w:style>
  <w:style w:type="paragraph" w:styleId="ListContinue">
    <w:name w:val="List Continue"/>
    <w:basedOn w:val="List"/>
    <w:rsid w:val="002D6A98"/>
    <w:pPr>
      <w:ind w:firstLine="0"/>
    </w:pPr>
  </w:style>
  <w:style w:type="paragraph" w:customStyle="1" w:styleId="ListNote">
    <w:name w:val="List Note"/>
    <w:basedOn w:val="List"/>
    <w:rsid w:val="002D6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A98"/>
    <w:rPr>
      <w:rFonts w:ascii="Courier New" w:hAnsi="Courier New"/>
    </w:rPr>
  </w:style>
  <w:style w:type="paragraph" w:customStyle="1" w:styleId="NoteBullet">
    <w:name w:val="Note Bullet"/>
    <w:basedOn w:val="Note"/>
    <w:rsid w:val="002D6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A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6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A98"/>
    <w:rPr>
      <w:b/>
      <w:smallCaps/>
    </w:rPr>
  </w:style>
  <w:style w:type="paragraph" w:customStyle="1" w:styleId="TableListNumber">
    <w:name w:val="Table List Number"/>
    <w:basedOn w:val="ListNumber"/>
    <w:rsid w:val="002D6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A98"/>
    <w:pPr>
      <w:numPr>
        <w:numId w:val="9"/>
      </w:numPr>
    </w:pPr>
  </w:style>
  <w:style w:type="paragraph" w:customStyle="1" w:styleId="ListAlpha2">
    <w:name w:val="List Alpha 2"/>
    <w:basedOn w:val="List2"/>
    <w:rsid w:val="002D6A98"/>
    <w:pPr>
      <w:numPr>
        <w:numId w:val="8"/>
      </w:numPr>
    </w:pPr>
  </w:style>
  <w:style w:type="paragraph" w:styleId="List2">
    <w:name w:val="List 2"/>
    <w:basedOn w:val="BodyText"/>
    <w:rsid w:val="002D6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A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A98"/>
    <w:pPr>
      <w:numPr>
        <w:numId w:val="4"/>
      </w:numPr>
    </w:pPr>
  </w:style>
  <w:style w:type="paragraph" w:styleId="ListContinue2">
    <w:name w:val="List Continue 2"/>
    <w:basedOn w:val="List2"/>
    <w:rsid w:val="002D6A98"/>
    <w:pPr>
      <w:ind w:firstLine="0"/>
    </w:pPr>
  </w:style>
  <w:style w:type="paragraph" w:styleId="ListContinue3">
    <w:name w:val="List Continue 3"/>
    <w:basedOn w:val="List3"/>
    <w:rsid w:val="002D6A98"/>
    <w:pPr>
      <w:ind w:left="1021" w:firstLine="0"/>
    </w:pPr>
  </w:style>
  <w:style w:type="paragraph" w:styleId="ListContinue4">
    <w:name w:val="List Continue 4"/>
    <w:basedOn w:val="List4"/>
    <w:rsid w:val="002D6A98"/>
    <w:pPr>
      <w:ind w:firstLine="0"/>
    </w:pPr>
  </w:style>
  <w:style w:type="paragraph" w:styleId="ListContinue5">
    <w:name w:val="List Continue 5"/>
    <w:basedOn w:val="List5"/>
    <w:rsid w:val="002D6A98"/>
    <w:pPr>
      <w:ind w:firstLine="0"/>
    </w:pPr>
  </w:style>
  <w:style w:type="paragraph" w:styleId="ListNumber3">
    <w:name w:val="List Number 3"/>
    <w:basedOn w:val="List3"/>
    <w:rsid w:val="002D6A98"/>
    <w:pPr>
      <w:numPr>
        <w:numId w:val="5"/>
      </w:numPr>
    </w:pPr>
  </w:style>
  <w:style w:type="paragraph" w:styleId="ListNumber4">
    <w:name w:val="List Number 4"/>
    <w:basedOn w:val="List4"/>
    <w:rsid w:val="002D6A98"/>
    <w:pPr>
      <w:numPr>
        <w:numId w:val="6"/>
      </w:numPr>
    </w:pPr>
  </w:style>
  <w:style w:type="paragraph" w:styleId="ListNumber5">
    <w:name w:val="List Number 5"/>
    <w:basedOn w:val="List5"/>
    <w:rsid w:val="002D6A98"/>
    <w:pPr>
      <w:numPr>
        <w:numId w:val="7"/>
      </w:numPr>
    </w:pPr>
  </w:style>
  <w:style w:type="paragraph" w:styleId="BlockText">
    <w:name w:val="Block Text"/>
    <w:basedOn w:val="Normal"/>
    <w:rsid w:val="002D6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A98"/>
    <w:rPr>
      <w:sz w:val="16"/>
      <w:vertAlign w:val="superscript"/>
    </w:rPr>
  </w:style>
  <w:style w:type="character" w:customStyle="1" w:styleId="Symbols">
    <w:name w:val="Symbols"/>
    <w:basedOn w:val="DefaultParagraphFont"/>
    <w:rsid w:val="002D6A98"/>
    <w:rPr>
      <w:rFonts w:ascii="Symbol" w:hAnsi="Symbol"/>
    </w:rPr>
  </w:style>
  <w:style w:type="character" w:customStyle="1" w:styleId="MenuOptions">
    <w:name w:val="Menu Options"/>
    <w:basedOn w:val="DefaultParagraphFont"/>
    <w:rsid w:val="002D6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A98"/>
    <w:rPr>
      <w:b/>
    </w:rPr>
  </w:style>
  <w:style w:type="character" w:customStyle="1" w:styleId="Underlined">
    <w:name w:val="Underlined"/>
    <w:basedOn w:val="DefaultParagraphFont"/>
    <w:rsid w:val="002D6A98"/>
    <w:rPr>
      <w:u w:val="single"/>
    </w:rPr>
  </w:style>
  <w:style w:type="paragraph" w:customStyle="1" w:styleId="TableBodyTextRight">
    <w:name w:val="Table Body Text Right"/>
    <w:basedOn w:val="TableBodyText"/>
    <w:rsid w:val="002D6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A98"/>
    <w:rPr>
      <w:sz w:val="18"/>
    </w:rPr>
  </w:style>
  <w:style w:type="paragraph" w:customStyle="1" w:styleId="BodySmallRight">
    <w:name w:val="Body Small Right"/>
    <w:basedOn w:val="BodyTextRight"/>
    <w:rsid w:val="002D6A98"/>
    <w:rPr>
      <w:sz w:val="18"/>
      <w:szCs w:val="18"/>
    </w:rPr>
  </w:style>
  <w:style w:type="paragraph" w:customStyle="1" w:styleId="MarginEdition">
    <w:name w:val="Margin Edition"/>
    <w:basedOn w:val="MarginNote"/>
    <w:rsid w:val="002D6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A98"/>
    <w:rPr>
      <w:sz w:val="2"/>
      <w:szCs w:val="2"/>
    </w:rPr>
  </w:style>
  <w:style w:type="character" w:customStyle="1" w:styleId="Small">
    <w:name w:val="Small"/>
    <w:basedOn w:val="DefaultParagraphFont"/>
    <w:rsid w:val="002D6A98"/>
    <w:rPr>
      <w:sz w:val="16"/>
    </w:rPr>
  </w:style>
  <w:style w:type="paragraph" w:customStyle="1" w:styleId="WideTable">
    <w:name w:val="Wide Table"/>
    <w:basedOn w:val="Normal"/>
    <w:rsid w:val="002D6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A98"/>
  </w:style>
  <w:style w:type="paragraph" w:styleId="Quote">
    <w:name w:val="Quote"/>
    <w:basedOn w:val="Heading1"/>
    <w:link w:val="QuoteChar"/>
    <w:qFormat/>
    <w:rsid w:val="002D6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A98"/>
    <w:pPr>
      <w:pageBreakBefore/>
    </w:pPr>
  </w:style>
  <w:style w:type="paragraph" w:customStyle="1" w:styleId="Border">
    <w:name w:val="Border"/>
    <w:basedOn w:val="Normal"/>
    <w:qFormat/>
    <w:rsid w:val="002D6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A98"/>
    <w:rPr>
      <w:u w:val="single"/>
    </w:rPr>
  </w:style>
  <w:style w:type="character" w:customStyle="1" w:styleId="BoldandItalics">
    <w:name w:val="Bold and Italics"/>
    <w:qFormat/>
    <w:rsid w:val="002D6A98"/>
    <w:rPr>
      <w:b/>
      <w:i/>
      <w:u w:val="none"/>
    </w:rPr>
  </w:style>
  <w:style w:type="paragraph" w:styleId="BalloonText">
    <w:name w:val="Balloon Text"/>
    <w:basedOn w:val="Normal"/>
    <w:link w:val="BalloonTextChar"/>
    <w:rsid w:val="002D6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A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3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2595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AUMGTW006 Machine Parts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2018-12-12T03:03:00Z</dcterms:created>
  <dcterms:modified xsi:type="dcterms:W3CDTF">2018-12-12T03:03:00Z</dcterms:modified>
</cp:coreProperties>
</file>