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D6" w:rsidP="005D3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AUMGTW001 Perform basic welding, thermal cutting, heating and gouging</w:t>
      </w:r>
      <w:r>
        <w:fldChar w:fldCharType="end"/>
      </w:r>
    </w:p>
    <w:p w:rsidR="005D37D6" w:rsidP="005D37D6">
      <w:pPr>
        <w:pStyle w:val="Version"/>
        <w:sectPr w:rsidSect="00AF2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24F8" w:rsidP="00AF24F8">
      <w:pPr>
        <w:pStyle w:val="SuperHeading"/>
      </w:pPr>
      <w:r w:rsidRPr="00AF24F8">
        <w:t>AUMGTW001 Perform basic welding, thermal cutting, heating and gouging</w:t>
      </w:r>
    </w:p>
    <w:p w:rsidR="00000000" w:rsidRPr="00AF24F8" w:rsidP="00AF24F8">
      <w:pPr>
        <w:pStyle w:val="Heading1"/>
      </w:pPr>
      <w:bookmarkStart w:id="1" w:name="O_1015996"/>
      <w:bookmarkEnd w:id="1"/>
      <w:r w:rsidRPr="00AF24F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F8" w:rsidP="00AF24F8">
            <w:pPr>
              <w:pStyle w:val="BodyText"/>
            </w:pPr>
            <w:r w:rsidRPr="00AF24F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F8">
            <w:pPr>
              <w:pStyle w:val="BodyText"/>
              <w:rPr>
                <w:lang w:val="en-NZ"/>
              </w:rPr>
            </w:pPr>
            <w:r w:rsidRPr="00AF24F8">
              <w:rPr>
                <w:rStyle w:val="SpecialBold"/>
              </w:rPr>
              <w:t>Comment</w:t>
            </w:r>
          </w:p>
        </w:tc>
      </w:tr>
      <w:tr w:rsidTr="005D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F8">
            <w:pPr>
              <w:pStyle w:val="BodyText"/>
              <w:rPr>
                <w:lang w:val="en-NZ"/>
              </w:rPr>
            </w:pPr>
            <w:r w:rsidRPr="00AF24F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F8" w:rsidP="00AF24F8">
            <w:pPr>
              <w:pStyle w:val="BodyText"/>
            </w:pPr>
            <w:r w:rsidRPr="00AF24F8">
              <w:t>Unit updated to reflect the new standards for Training Packages</w:t>
            </w:r>
          </w:p>
          <w:p w:rsidR="00000000" w:rsidP="00AF24F8">
            <w:pPr>
              <w:pStyle w:val="BodyText"/>
              <w:rPr>
                <w:lang w:val="en-NZ"/>
              </w:rPr>
            </w:pPr>
            <w:r w:rsidRPr="00AF24F8">
              <w:t>Replaces AUMGTW3001 Conduct basic welding, thermal cutting, heating and gouging operations</w:t>
            </w:r>
          </w:p>
        </w:tc>
      </w:tr>
      <w:tr w:rsidTr="005D37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F8">
            <w:pPr>
              <w:pStyle w:val="BodyText"/>
              <w:rPr>
                <w:lang w:val="en-NZ"/>
              </w:rPr>
            </w:pPr>
            <w:r w:rsidRPr="00AF24F8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F8" w:rsidP="00AF24F8">
            <w:pPr>
              <w:pStyle w:val="BodyText"/>
            </w:pPr>
            <w:r w:rsidRPr="00AF24F8">
              <w:t>Updated for clarity and policy adherence</w:t>
            </w:r>
          </w:p>
        </w:tc>
      </w:tr>
    </w:tbl>
    <w:p w:rsidR="00000000" w:rsidRPr="00AF24F8" w:rsidP="00AF24F8">
      <w:pPr>
        <w:pStyle w:val="BodyText"/>
      </w:pPr>
    </w:p>
    <w:p w:rsidR="00000000" w:rsidRPr="00AF24F8" w:rsidP="00AF24F8">
      <w:pPr>
        <w:pStyle w:val="AllowPageBreak"/>
      </w:pPr>
    </w:p>
    <w:p w:rsidR="00000000" w:rsidRPr="00AF24F8" w:rsidP="00AF24F8">
      <w:pPr>
        <w:pStyle w:val="Heading1"/>
      </w:pPr>
      <w:bookmarkStart w:id="2" w:name="O_1015995"/>
      <w:bookmarkEnd w:id="2"/>
      <w:r w:rsidRPr="00AF24F8">
        <w:t>Performance Evidence</w:t>
      </w:r>
    </w:p>
    <w:p w:rsidR="00000000" w:rsidRPr="00AF24F8" w:rsidP="005D37D6">
      <w:pPr>
        <w:pStyle w:val="BodyText"/>
      </w:pPr>
      <w:r w:rsidRPr="00AF24F8">
        <w:t>Before competency can be determined, individuals must have competently demonstrated basic welding, thermal cutting, heating and gouging operations; each on a minimum of three occasions.</w:t>
      </w:r>
    </w:p>
    <w:p w:rsidR="00000000" w:rsidRPr="00AF24F8" w:rsidP="005D37D6">
      <w:pPr>
        <w:pStyle w:val="BodyText"/>
      </w:pPr>
      <w:r w:rsidRPr="00AF24F8">
        <w:t>Individuals must demonstrate they can:</w:t>
      </w:r>
    </w:p>
    <w:p w:rsidR="00000000" w:rsidRPr="00AF24F8" w:rsidP="00AF24F8">
      <w:pPr>
        <w:pStyle w:val="ListBullet"/>
      </w:pPr>
      <w:r w:rsidRPr="00AF24F8">
        <w:t xml:space="preserve">apply workplace requirements, </w:t>
      </w:r>
      <w:r w:rsidRPr="00AF24F8">
        <w:t>procedures and workplace health and safety (WHS) practices in relation to:</w:t>
      </w:r>
    </w:p>
    <w:p w:rsidR="00000000" w:rsidRPr="00AF24F8" w:rsidP="00AF24F8">
      <w:pPr>
        <w:pStyle w:val="ListBullet2"/>
      </w:pPr>
      <w:r w:rsidRPr="00AF24F8">
        <w:t>weld production</w:t>
      </w:r>
    </w:p>
    <w:p w:rsidR="00000000" w:rsidRPr="00AF24F8" w:rsidP="00AF24F8">
      <w:pPr>
        <w:pStyle w:val="ListBullet2"/>
      </w:pPr>
      <w:r w:rsidRPr="00AF24F8">
        <w:t>work quality</w:t>
      </w:r>
    </w:p>
    <w:p w:rsidR="00000000" w:rsidRPr="00AF24F8" w:rsidP="00AF24F8">
      <w:pPr>
        <w:pStyle w:val="ListBullet"/>
      </w:pPr>
      <w:r w:rsidRPr="00AF24F8">
        <w:t>perform gas metal arc welding (GMAW) and manual metal arc welding (MMAW) processes</w:t>
      </w:r>
    </w:p>
    <w:p w:rsidR="00000000" w:rsidRPr="00AF24F8" w:rsidP="00AF24F8">
      <w:pPr>
        <w:pStyle w:val="ListBullet"/>
      </w:pPr>
      <w:r w:rsidRPr="00AF24F8">
        <w:t>perform oxy-acetylene welding processes</w:t>
      </w:r>
    </w:p>
    <w:p w:rsidR="00000000" w:rsidRPr="00AF24F8" w:rsidP="00AF24F8">
      <w:pPr>
        <w:pStyle w:val="ListBullet"/>
      </w:pPr>
      <w:r w:rsidRPr="00AF24F8">
        <w:t>perform thermal cutting, heating and gouging processes</w:t>
      </w:r>
    </w:p>
    <w:p w:rsidR="00000000" w:rsidRPr="00AF24F8" w:rsidP="00AF24F8">
      <w:pPr>
        <w:pStyle w:val="ListBullet"/>
      </w:pPr>
      <w:r w:rsidRPr="00AF24F8">
        <w:t>use relevant tools and equipment for the process</w:t>
      </w:r>
    </w:p>
    <w:p w:rsidR="00000000" w:rsidRPr="00AF24F8" w:rsidP="00AF24F8">
      <w:pPr>
        <w:pStyle w:val="ListBullet"/>
      </w:pPr>
      <w:r w:rsidRPr="00AF24F8">
        <w:t>check completed work against job specifications</w:t>
      </w:r>
    </w:p>
    <w:p w:rsidR="00000000" w:rsidRPr="00AF24F8" w:rsidP="00AF24F8">
      <w:pPr>
        <w:pStyle w:val="ListBullet"/>
      </w:pPr>
      <w:r w:rsidRPr="00AF24F8">
        <w:t xml:space="preserve">collect and store materials that can be reused </w:t>
      </w:r>
    </w:p>
    <w:p w:rsidR="00000000" w:rsidRPr="00AF24F8" w:rsidP="00AF24F8">
      <w:pPr>
        <w:pStyle w:val="ListBullet"/>
      </w:pPr>
      <w:r w:rsidRPr="00AF24F8">
        <w:t>clean work area and maintain equipment complete workplac</w:t>
      </w:r>
      <w:r w:rsidRPr="00AF24F8">
        <w:t>e documentation relating to basic welding, thermal cutting, heating and gouging operations.</w:t>
      </w:r>
    </w:p>
    <w:p w:rsidR="00000000" w:rsidRPr="00AF24F8" w:rsidP="00AF24F8">
      <w:pPr>
        <w:pStyle w:val="AllowPageBreak"/>
      </w:pPr>
    </w:p>
    <w:p w:rsidR="00000000" w:rsidRPr="00AF24F8" w:rsidP="00AF24F8">
      <w:pPr>
        <w:pStyle w:val="Heading1"/>
      </w:pPr>
      <w:bookmarkStart w:id="3" w:name="O_1015994"/>
      <w:bookmarkEnd w:id="3"/>
      <w:r w:rsidRPr="00AF24F8">
        <w:t>Knowledge Evidence</w:t>
      </w:r>
    </w:p>
    <w:p w:rsidR="00000000" w:rsidRPr="00AF24F8" w:rsidP="005D37D6">
      <w:pPr>
        <w:pStyle w:val="BodyText"/>
      </w:pPr>
      <w:r w:rsidRPr="00AF24F8">
        <w:t>The candidate must be able to demonstrate knowledge to complete the tasks outlined in the elements and performance criteria of</w:t>
      </w:r>
      <w:r w:rsidRPr="00AF24F8">
        <w:t xml:space="preserve"> this unit. This includes: </w:t>
      </w:r>
    </w:p>
    <w:p w:rsidR="00000000" w:rsidRPr="00AF24F8" w:rsidP="00AF24F8">
      <w:pPr>
        <w:pStyle w:val="ListBullet"/>
      </w:pPr>
      <w:r w:rsidRPr="00AF24F8">
        <w:t>work health and safety (WHS) requirements in relation to basic welding, thermal cutting, heating and gouging work tasks, including personal protective equipment (PPE)</w:t>
      </w:r>
    </w:p>
    <w:p w:rsidR="00000000" w:rsidRPr="00AF24F8" w:rsidP="00AF24F8">
      <w:pPr>
        <w:pStyle w:val="ListBullet"/>
      </w:pPr>
      <w:r w:rsidRPr="00AF24F8">
        <w:t>types of welding rods and their application</w:t>
      </w:r>
    </w:p>
    <w:p w:rsidR="00000000" w:rsidRPr="00AF24F8" w:rsidP="00AF24F8">
      <w:pPr>
        <w:pStyle w:val="ListBullet"/>
      </w:pPr>
      <w:r w:rsidRPr="00AF24F8">
        <w:t>MMAW techniques</w:t>
      </w:r>
    </w:p>
    <w:p w:rsidR="00000000" w:rsidRPr="00AF24F8" w:rsidP="00AF24F8">
      <w:pPr>
        <w:pStyle w:val="ListBullet"/>
      </w:pPr>
      <w:r w:rsidRPr="00AF24F8">
        <w:t>GMAW techniques</w:t>
      </w:r>
    </w:p>
    <w:p w:rsidR="00000000" w:rsidRPr="00AF24F8" w:rsidP="00AF24F8">
      <w:pPr>
        <w:pStyle w:val="ListBullet"/>
      </w:pPr>
      <w:r w:rsidRPr="00AF24F8">
        <w:t>thermal cutting, heating and gouging techniques</w:t>
      </w:r>
    </w:p>
    <w:p w:rsidR="00000000" w:rsidRPr="00AF24F8" w:rsidP="00AF24F8">
      <w:pPr>
        <w:pStyle w:val="ListBullet"/>
      </w:pPr>
      <w:r w:rsidRPr="00AF24F8">
        <w:t>welding quality standards</w:t>
      </w:r>
    </w:p>
    <w:p w:rsidR="00000000" w:rsidRPr="00AF24F8" w:rsidP="00AF24F8">
      <w:pPr>
        <w:pStyle w:val="ListBullet"/>
      </w:pPr>
      <w:r w:rsidRPr="00AF24F8">
        <w:t>oxy-acetylene welding techniques</w:t>
      </w:r>
    </w:p>
    <w:p w:rsidR="00000000" w:rsidRPr="00AF24F8" w:rsidP="00AF24F8">
      <w:pPr>
        <w:pStyle w:val="AllowPageBreak"/>
      </w:pPr>
    </w:p>
    <w:p w:rsidR="00000000" w:rsidRPr="00AF24F8" w:rsidP="00AF24F8">
      <w:pPr>
        <w:pStyle w:val="Heading1"/>
      </w:pPr>
      <w:bookmarkStart w:id="4" w:name="O_1015993"/>
      <w:bookmarkEnd w:id="4"/>
      <w:r w:rsidRPr="00AF24F8">
        <w:t>Assessment Conditions</w:t>
      </w:r>
    </w:p>
    <w:p w:rsidR="00000000" w:rsidRPr="00AF24F8" w:rsidP="005D37D6">
      <w:pPr>
        <w:pStyle w:val="BodyText"/>
      </w:pPr>
      <w:r w:rsidRPr="00AF24F8">
        <w:t>Assessors must satisfy SNR/AQTF assessor requirements.</w:t>
      </w:r>
    </w:p>
    <w:p w:rsidR="00000000" w:rsidRPr="00AF24F8" w:rsidP="005D37D6">
      <w:pPr>
        <w:pStyle w:val="BodyText"/>
      </w:pPr>
      <w:r w:rsidRPr="00AF24F8">
        <w:t>Competency is to be assessed in the w</w:t>
      </w:r>
      <w:r w:rsidRPr="00AF24F8">
        <w:t>orkplace or a simulated environment that accurately reflects performance in a real workplace setting.</w:t>
      </w:r>
    </w:p>
    <w:p w:rsidR="00000000" w:rsidRPr="00AF24F8" w:rsidP="005D37D6">
      <w:pPr>
        <w:pStyle w:val="BodyText"/>
      </w:pPr>
      <w:r w:rsidRPr="00AF24F8">
        <w:t>Where assessment of competency includes third-party evidence, individuals must provide evidence that links them to the vehicles or components on which the</w:t>
      </w:r>
      <w:r w:rsidRPr="00AF24F8">
        <w:t>y have performed basic welding, thermal cutting, heating and gouging, e.g. production work sheets.</w:t>
      </w:r>
    </w:p>
    <w:p w:rsidR="00000000" w:rsidRPr="00AF24F8" w:rsidP="005D37D6">
      <w:pPr>
        <w:pStyle w:val="BodyText"/>
      </w:pPr>
      <w:r w:rsidRPr="00AF24F8">
        <w:t>Assessors must verify performance evidence through questioning on skills and knowledge to ensure correct interpretation and application.</w:t>
      </w:r>
    </w:p>
    <w:p w:rsidR="00000000" w:rsidRPr="00AF24F8" w:rsidP="005D37D6">
      <w:pPr>
        <w:pStyle w:val="BodyText"/>
      </w:pPr>
      <w:r w:rsidRPr="00AF24F8">
        <w:t>The following resour</w:t>
      </w:r>
      <w:r w:rsidRPr="00AF24F8">
        <w:t>ces must be made available:</w:t>
      </w:r>
    </w:p>
    <w:p w:rsidR="00000000" w:rsidRPr="00AF24F8" w:rsidP="00AF24F8">
      <w:pPr>
        <w:pStyle w:val="ListBullet"/>
      </w:pPr>
      <w:r w:rsidRPr="00AF24F8">
        <w:t>automotive manufacturing workplace or simulated workplace</w:t>
      </w:r>
    </w:p>
    <w:p w:rsidR="00000000" w:rsidRPr="00AF24F8" w:rsidP="00AF24F8">
      <w:pPr>
        <w:pStyle w:val="ListBullet"/>
      </w:pPr>
      <w:r w:rsidRPr="00AF24F8">
        <w:t>vehicles or components that require basic welding, thermal cutting, heating and gouging operations</w:t>
      </w:r>
    </w:p>
    <w:p w:rsidR="00000000" w:rsidRPr="00AF24F8" w:rsidP="00AF24F8">
      <w:pPr>
        <w:pStyle w:val="ListBullet"/>
      </w:pPr>
      <w:r w:rsidRPr="00AF24F8">
        <w:t>WHS equipment, including PPE relating to basic welding, thermal cuttin</w:t>
      </w:r>
      <w:r w:rsidRPr="00AF24F8">
        <w:t>g, heating and gouging</w:t>
      </w:r>
    </w:p>
    <w:p w:rsidR="00000000" w:rsidRPr="00AF24F8" w:rsidP="00AF24F8">
      <w:pPr>
        <w:pStyle w:val="ListBullet"/>
      </w:pPr>
      <w:r w:rsidRPr="00AF24F8">
        <w:t>workplace procedures, equipment and operating instructions relating to basic welding, thermal cutting, heating and gouging</w:t>
      </w:r>
    </w:p>
    <w:p w:rsidR="00000000" w:rsidRPr="00AF24F8" w:rsidP="00AF24F8">
      <w:pPr>
        <w:pStyle w:val="ListBullet"/>
      </w:pPr>
      <w:r w:rsidRPr="00AF24F8">
        <w:t>welding consumables and materials</w:t>
      </w:r>
    </w:p>
    <w:p w:rsidR="00000000" w:rsidRPr="00AF24F8" w:rsidP="00AF24F8">
      <w:pPr>
        <w:pStyle w:val="ListBullet"/>
      </w:pPr>
      <w:r w:rsidRPr="00AF24F8">
        <w:t>welding equipment and accompanying operating instructions, including:</w:t>
      </w:r>
    </w:p>
    <w:p w:rsidR="00000000" w:rsidRPr="00AF24F8" w:rsidP="00AF24F8">
      <w:pPr>
        <w:pStyle w:val="ListBullet2"/>
      </w:pPr>
      <w:r w:rsidRPr="00AF24F8">
        <w:t>gas m</w:t>
      </w:r>
      <w:r w:rsidRPr="00AF24F8">
        <w:t>etal arc welding (GMAW) equipment</w:t>
      </w:r>
    </w:p>
    <w:p w:rsidR="00000000" w:rsidRPr="00AF24F8" w:rsidP="00AF24F8">
      <w:pPr>
        <w:pStyle w:val="ListBullet2"/>
      </w:pPr>
      <w:r w:rsidRPr="00AF24F8">
        <w:t>manual metal arc welding (MMAW) equipment</w:t>
      </w:r>
    </w:p>
    <w:p w:rsidR="00000000" w:rsidRPr="00AF24F8" w:rsidP="00AF24F8">
      <w:pPr>
        <w:pStyle w:val="ListBullet2"/>
      </w:pPr>
      <w:r w:rsidRPr="00AF24F8">
        <w:t>oxy-acetylene plant and equipment</w:t>
      </w:r>
    </w:p>
    <w:p w:rsidR="00000000" w:rsidRPr="00AF24F8" w:rsidP="00AF24F8">
      <w:pPr>
        <w:pStyle w:val="ListBullet2"/>
      </w:pPr>
      <w:r w:rsidRPr="00AF24F8">
        <w:t>thermal cutting, heating and gouging equipment</w:t>
      </w:r>
    </w:p>
    <w:p w:rsidR="00000000" w:rsidRPr="00AF24F8" w:rsidP="00AF24F8">
      <w:pPr>
        <w:pStyle w:val="ListBullet"/>
      </w:pPr>
      <w:r w:rsidRPr="00AF24F8">
        <w:t>work sheets relating to basic welding, thermal cutting, heating and gouging operations.</w:t>
      </w:r>
    </w:p>
    <w:p w:rsidR="00000000" w:rsidRPr="00AF24F8" w:rsidP="00AF24F8">
      <w:pPr>
        <w:pStyle w:val="AllowPageBreak"/>
      </w:pPr>
    </w:p>
    <w:p w:rsidR="00000000" w:rsidRPr="00AF24F8" w:rsidP="00AF24F8">
      <w:pPr>
        <w:pStyle w:val="Heading1"/>
      </w:pPr>
      <w:bookmarkStart w:id="5" w:name="O_1016007"/>
      <w:bookmarkEnd w:id="5"/>
      <w:r w:rsidRPr="00AF24F8">
        <w:t>Links</w:t>
      </w:r>
    </w:p>
    <w:p w:rsidR="00000000" w:rsidRPr="00AF24F8" w:rsidP="005D37D6">
      <w:pPr>
        <w:pStyle w:val="BodyText"/>
      </w:pPr>
      <w:r w:rsidRPr="00AF2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64347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F24F8" w:rsidP="00AF24F8"/>
    <w:sectPr w:rsidSect="00AF2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F8" w:rsidRPr="005D37D6" w:rsidP="005D3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D6" w:rsidP="00AF2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7D6" w:rsidP="00AF2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D37D6" w:rsidP="00AF2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4F8" w:rsidRPr="005D37D6" w:rsidP="005D3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D6" w:rsidRPr="002D2AF8" w:rsidP="00AF2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AUMGTW001 Perform basic welding, thermal cutting, heating and gouging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37D6" w:rsidP="00AF2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84A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201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29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4F8"/>
  </w:style>
  <w:style w:type="character" w:customStyle="1" w:styleId="Heading1Char">
    <w:name w:val="Heading 1 Char"/>
    <w:basedOn w:val="DefaultParagraphFont"/>
    <w:link w:val="Heading1"/>
    <w:rsid w:val="00AF2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4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4F8"/>
    <w:rPr>
      <w:b/>
      <w:spacing w:val="0"/>
    </w:rPr>
  </w:style>
  <w:style w:type="paragraph" w:styleId="ListBullet2">
    <w:name w:val="List Bullet 2"/>
    <w:basedOn w:val="List2"/>
    <w:rsid w:val="00AF24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4F8"/>
    <w:rPr>
      <w:i/>
    </w:rPr>
  </w:style>
  <w:style w:type="paragraph" w:styleId="Caption">
    <w:name w:val="caption"/>
    <w:basedOn w:val="BodyText"/>
    <w:next w:val="Normal"/>
    <w:qFormat/>
    <w:rsid w:val="00AF2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4F8"/>
  </w:style>
  <w:style w:type="paragraph" w:styleId="TableofFigures">
    <w:name w:val="table of figures"/>
    <w:basedOn w:val="Normal"/>
    <w:next w:val="Normal"/>
    <w:semiHidden/>
    <w:rsid w:val="00AF2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4F8"/>
    <w:rPr>
      <w:rFonts w:ascii="Wingdings" w:hAnsi="Wingdings"/>
    </w:rPr>
  </w:style>
  <w:style w:type="paragraph" w:customStyle="1" w:styleId="TableHeading">
    <w:name w:val="Table Heading"/>
    <w:basedOn w:val="HeadingBase"/>
    <w:rsid w:val="00AF2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4F8"/>
    <w:rPr>
      <w:color w:val="0033CC"/>
      <w:u w:val="none"/>
    </w:rPr>
  </w:style>
  <w:style w:type="paragraph" w:customStyle="1" w:styleId="BodyTextRight">
    <w:name w:val="Body Text Right"/>
    <w:basedOn w:val="BodyText"/>
    <w:rsid w:val="00AF2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4F8"/>
    <w:rPr>
      <w:sz w:val="32"/>
    </w:rPr>
  </w:style>
  <w:style w:type="paragraph" w:customStyle="1" w:styleId="HeadingProcedure">
    <w:name w:val="Heading Procedure"/>
    <w:basedOn w:val="HeadingBase"/>
    <w:next w:val="Normal"/>
    <w:rsid w:val="00AF2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4F8"/>
    <w:pPr>
      <w:spacing w:before="60" w:after="60"/>
    </w:pPr>
  </w:style>
  <w:style w:type="paragraph" w:styleId="ListContinue">
    <w:name w:val="List Continue"/>
    <w:basedOn w:val="List"/>
    <w:rsid w:val="00AF24F8"/>
    <w:pPr>
      <w:ind w:firstLine="0"/>
    </w:pPr>
  </w:style>
  <w:style w:type="paragraph" w:customStyle="1" w:styleId="ListNote">
    <w:name w:val="List Note"/>
    <w:basedOn w:val="List"/>
    <w:rsid w:val="00AF2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4F8"/>
    <w:rPr>
      <w:rFonts w:ascii="Courier New" w:hAnsi="Courier New"/>
    </w:rPr>
  </w:style>
  <w:style w:type="paragraph" w:customStyle="1" w:styleId="NoteBullet">
    <w:name w:val="Note Bullet"/>
    <w:basedOn w:val="Note"/>
    <w:rsid w:val="00AF2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4F8"/>
    <w:rPr>
      <w:b/>
      <w:smallCaps/>
    </w:rPr>
  </w:style>
  <w:style w:type="paragraph" w:customStyle="1" w:styleId="TableListNumber">
    <w:name w:val="Table List Number"/>
    <w:basedOn w:val="ListNumber"/>
    <w:rsid w:val="00AF2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4F8"/>
    <w:pPr>
      <w:numPr>
        <w:numId w:val="9"/>
      </w:numPr>
    </w:pPr>
  </w:style>
  <w:style w:type="paragraph" w:customStyle="1" w:styleId="ListAlpha2">
    <w:name w:val="List Alpha 2"/>
    <w:basedOn w:val="List2"/>
    <w:rsid w:val="00AF24F8"/>
    <w:pPr>
      <w:numPr>
        <w:numId w:val="8"/>
      </w:numPr>
    </w:pPr>
  </w:style>
  <w:style w:type="paragraph" w:styleId="List2">
    <w:name w:val="List 2"/>
    <w:basedOn w:val="BodyText"/>
    <w:rsid w:val="00AF2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4F8"/>
    <w:pPr>
      <w:numPr>
        <w:numId w:val="4"/>
      </w:numPr>
    </w:pPr>
  </w:style>
  <w:style w:type="paragraph" w:styleId="ListContinue2">
    <w:name w:val="List Continue 2"/>
    <w:basedOn w:val="List2"/>
    <w:rsid w:val="00AF24F8"/>
    <w:pPr>
      <w:ind w:firstLine="0"/>
    </w:pPr>
  </w:style>
  <w:style w:type="paragraph" w:styleId="ListContinue3">
    <w:name w:val="List Continue 3"/>
    <w:basedOn w:val="List3"/>
    <w:rsid w:val="00AF24F8"/>
    <w:pPr>
      <w:ind w:left="1021" w:firstLine="0"/>
    </w:pPr>
  </w:style>
  <w:style w:type="paragraph" w:styleId="ListContinue4">
    <w:name w:val="List Continue 4"/>
    <w:basedOn w:val="List4"/>
    <w:rsid w:val="00AF24F8"/>
    <w:pPr>
      <w:ind w:firstLine="0"/>
    </w:pPr>
  </w:style>
  <w:style w:type="paragraph" w:styleId="ListContinue5">
    <w:name w:val="List Continue 5"/>
    <w:basedOn w:val="List5"/>
    <w:rsid w:val="00AF24F8"/>
    <w:pPr>
      <w:ind w:firstLine="0"/>
    </w:pPr>
  </w:style>
  <w:style w:type="paragraph" w:styleId="ListNumber3">
    <w:name w:val="List Number 3"/>
    <w:basedOn w:val="List3"/>
    <w:rsid w:val="00AF24F8"/>
    <w:pPr>
      <w:numPr>
        <w:numId w:val="5"/>
      </w:numPr>
    </w:pPr>
  </w:style>
  <w:style w:type="paragraph" w:styleId="ListNumber4">
    <w:name w:val="List Number 4"/>
    <w:basedOn w:val="List4"/>
    <w:rsid w:val="00AF24F8"/>
    <w:pPr>
      <w:numPr>
        <w:numId w:val="6"/>
      </w:numPr>
    </w:pPr>
  </w:style>
  <w:style w:type="paragraph" w:styleId="ListNumber5">
    <w:name w:val="List Number 5"/>
    <w:basedOn w:val="List5"/>
    <w:rsid w:val="00AF24F8"/>
    <w:pPr>
      <w:numPr>
        <w:numId w:val="7"/>
      </w:numPr>
    </w:pPr>
  </w:style>
  <w:style w:type="paragraph" w:styleId="BlockText">
    <w:name w:val="Block Text"/>
    <w:basedOn w:val="Normal"/>
    <w:rsid w:val="00AF2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4F8"/>
    <w:rPr>
      <w:sz w:val="16"/>
      <w:vertAlign w:val="superscript"/>
    </w:rPr>
  </w:style>
  <w:style w:type="character" w:customStyle="1" w:styleId="Symbols">
    <w:name w:val="Symbols"/>
    <w:basedOn w:val="DefaultParagraphFont"/>
    <w:rsid w:val="00AF24F8"/>
    <w:rPr>
      <w:rFonts w:ascii="Symbol" w:hAnsi="Symbol"/>
    </w:rPr>
  </w:style>
  <w:style w:type="character" w:customStyle="1" w:styleId="MenuOptions">
    <w:name w:val="Menu Options"/>
    <w:basedOn w:val="DefaultParagraphFont"/>
    <w:rsid w:val="00AF2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4F8"/>
    <w:rPr>
      <w:b/>
    </w:rPr>
  </w:style>
  <w:style w:type="character" w:customStyle="1" w:styleId="Underlined">
    <w:name w:val="Underlined"/>
    <w:basedOn w:val="DefaultParagraphFont"/>
    <w:rsid w:val="00AF24F8"/>
    <w:rPr>
      <w:u w:val="single"/>
    </w:rPr>
  </w:style>
  <w:style w:type="paragraph" w:customStyle="1" w:styleId="TableBodyTextRight">
    <w:name w:val="Table Body Text Right"/>
    <w:basedOn w:val="TableBodyText"/>
    <w:rsid w:val="00AF2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4F8"/>
    <w:rPr>
      <w:sz w:val="18"/>
    </w:rPr>
  </w:style>
  <w:style w:type="paragraph" w:customStyle="1" w:styleId="BodySmallRight">
    <w:name w:val="Body Small Right"/>
    <w:basedOn w:val="BodyTextRight"/>
    <w:rsid w:val="00AF24F8"/>
    <w:rPr>
      <w:sz w:val="18"/>
      <w:szCs w:val="18"/>
    </w:rPr>
  </w:style>
  <w:style w:type="paragraph" w:customStyle="1" w:styleId="MarginEdition">
    <w:name w:val="Margin Edition"/>
    <w:basedOn w:val="MarginNote"/>
    <w:rsid w:val="00AF2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4F8"/>
    <w:rPr>
      <w:sz w:val="2"/>
      <w:szCs w:val="2"/>
    </w:rPr>
  </w:style>
  <w:style w:type="character" w:customStyle="1" w:styleId="Small">
    <w:name w:val="Small"/>
    <w:basedOn w:val="DefaultParagraphFont"/>
    <w:rsid w:val="00AF24F8"/>
    <w:rPr>
      <w:sz w:val="16"/>
    </w:rPr>
  </w:style>
  <w:style w:type="paragraph" w:customStyle="1" w:styleId="WideTable">
    <w:name w:val="Wide Table"/>
    <w:basedOn w:val="Normal"/>
    <w:rsid w:val="00AF2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4F8"/>
  </w:style>
  <w:style w:type="paragraph" w:styleId="Quote">
    <w:name w:val="Quote"/>
    <w:basedOn w:val="Heading1"/>
    <w:link w:val="QuoteChar"/>
    <w:qFormat/>
    <w:rsid w:val="00AF2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4F8"/>
    <w:pPr>
      <w:pageBreakBefore/>
    </w:pPr>
  </w:style>
  <w:style w:type="paragraph" w:customStyle="1" w:styleId="Border">
    <w:name w:val="Border"/>
    <w:basedOn w:val="Normal"/>
    <w:qFormat/>
    <w:rsid w:val="00AF2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4F8"/>
    <w:rPr>
      <w:u w:val="single"/>
    </w:rPr>
  </w:style>
  <w:style w:type="character" w:customStyle="1" w:styleId="BoldandItalics">
    <w:name w:val="Bold and Italics"/>
    <w:qFormat/>
    <w:rsid w:val="00AF24F8"/>
    <w:rPr>
      <w:b/>
      <w:i/>
      <w:u w:val="none"/>
    </w:rPr>
  </w:style>
  <w:style w:type="paragraph" w:styleId="BalloonText">
    <w:name w:val="Balloon Text"/>
    <w:basedOn w:val="Normal"/>
    <w:link w:val="BalloonTextChar"/>
    <w:rsid w:val="00AF2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4F8"/>
    <w:pPr>
      <w:spacing w:before="0" w:after="0"/>
    </w:pPr>
  </w:style>
  <w:style w:type="paragraph" w:customStyle="1" w:styleId="BodyTextBold">
    <w:name w:val="Body Text Bold"/>
    <w:basedOn w:val="BodyText"/>
    <w:qFormat/>
    <w:rsid w:val="00AF24F8"/>
    <w:rPr>
      <w:b/>
    </w:rPr>
  </w:style>
  <w:style w:type="character" w:styleId="Hyperlink">
    <w:name w:val="Hyperlink"/>
    <w:basedOn w:val="DefaultParagraphFont"/>
    <w:uiPriority w:val="99"/>
    <w:unhideWhenUsed/>
    <w:rsid w:val="005D3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3062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AUMGTW001 Perform basic welding, thermal cutting, heating and gouging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