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C0B" w:rsidP="00146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AUMGTA002 Service vehicle after assembly</w:t>
      </w:r>
      <w:r>
        <w:fldChar w:fldCharType="end"/>
      </w:r>
    </w:p>
    <w:p w:rsidR="00146C0B" w:rsidP="00146C0B">
      <w:pPr>
        <w:pStyle w:val="Version"/>
        <w:sectPr w:rsidSect="00127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27D79" w:rsidP="00127D79">
      <w:pPr>
        <w:pStyle w:val="SuperHeading"/>
      </w:pPr>
      <w:r w:rsidRPr="00127D79">
        <w:t>Assessment Requirements for AUMGTA002 Service vehicle after assembly</w:t>
      </w:r>
    </w:p>
    <w:p w:rsidR="00000000" w:rsidRPr="00127D79" w:rsidP="00127D79">
      <w:pPr>
        <w:pStyle w:val="Heading1"/>
      </w:pPr>
      <w:bookmarkStart w:id="1" w:name="O_1225991"/>
      <w:bookmarkEnd w:id="1"/>
      <w:r w:rsidRPr="00127D79">
        <w:t>Modification History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7"/>
        <w:gridCol w:w="6804"/>
      </w:tblGrid>
      <w:tr w:rsidTr="00146C0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79">
            <w:pPr>
              <w:pStyle w:val="BodyText"/>
              <w:rPr>
                <w:lang w:val="en-NZ"/>
              </w:rPr>
            </w:pPr>
            <w:r w:rsidRPr="00127D7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79" w:rsidP="00127D79">
            <w:pPr>
              <w:pStyle w:val="BodyText"/>
            </w:pPr>
            <w:r w:rsidRPr="00127D79">
              <w:t>Unit updated to reflect the new standards for Training Packages</w:t>
            </w:r>
          </w:p>
          <w:p w:rsidR="00000000" w:rsidP="00127D79">
            <w:pPr>
              <w:pStyle w:val="BodyText"/>
              <w:rPr>
                <w:lang w:val="en-NZ"/>
              </w:rPr>
            </w:pPr>
            <w:r w:rsidRPr="00127D79">
              <w:t>Replaces AUMGTA3002 Service after assembly</w:t>
            </w:r>
          </w:p>
        </w:tc>
      </w:tr>
      <w:tr w:rsidTr="00146C0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79">
            <w:pPr>
              <w:pStyle w:val="BodyText"/>
              <w:rPr>
                <w:lang w:val="en-NZ"/>
              </w:rPr>
            </w:pPr>
            <w:r w:rsidRPr="00127D7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79" w:rsidP="00127D79">
            <w:pPr>
              <w:pStyle w:val="BodyText"/>
            </w:pPr>
            <w:r w:rsidRPr="00127D79">
              <w:t>Amendments made to the unit to include OHS requirements.</w:t>
            </w:r>
          </w:p>
          <w:p w:rsidR="00000000" w:rsidP="00127D79">
            <w:pPr>
              <w:pStyle w:val="BodyText"/>
              <w:rPr>
                <w:lang w:val="en-NZ"/>
              </w:rPr>
            </w:pPr>
            <w:r w:rsidRPr="00127D79">
              <w:t>Reference to SNR updated to NVR in Assessment Conditions to reflect new Standards for Registered Training Organisations.</w:t>
            </w:r>
          </w:p>
        </w:tc>
      </w:tr>
      <w:tr w:rsidTr="00146C0B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D79">
            <w:pPr>
              <w:pStyle w:val="BodyText"/>
              <w:rPr>
                <w:lang w:val="en-NZ"/>
              </w:rPr>
            </w:pPr>
            <w:r w:rsidRPr="00127D79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D79" w:rsidP="00127D79">
            <w:pPr>
              <w:pStyle w:val="BodyText"/>
            </w:pPr>
            <w:r w:rsidRPr="00127D79">
              <w:t>This version first released with the Automotive Manufacturing Train</w:t>
            </w:r>
            <w:r w:rsidRPr="00127D79">
              <w:t>ing Package Release 2.2.</w:t>
            </w:r>
          </w:p>
          <w:p w:rsidR="00000000" w:rsidRPr="00127D79" w:rsidP="00127D79">
            <w:pPr>
              <w:pStyle w:val="BodyText"/>
            </w:pPr>
            <w:r w:rsidRPr="00127D79">
              <w:t>Minor updates to Assessment Requirements. Performance Criteria changed from passive to active voice. Rationalisation of Range of Conditions.</w:t>
            </w:r>
          </w:p>
        </w:tc>
      </w:tr>
    </w:tbl>
    <w:p w:rsidR="00000000" w:rsidRPr="00127D79" w:rsidP="00127D79">
      <w:pPr>
        <w:pStyle w:val="BodyText"/>
      </w:pPr>
    </w:p>
    <w:p w:rsidR="00000000" w:rsidRPr="00127D79" w:rsidP="00127D79">
      <w:pPr>
        <w:pStyle w:val="AllowPageBreak"/>
      </w:pPr>
    </w:p>
    <w:p w:rsidR="00000000" w:rsidRPr="00127D79" w:rsidP="00127D79">
      <w:pPr>
        <w:pStyle w:val="Heading1"/>
      </w:pPr>
      <w:bookmarkStart w:id="2" w:name="O_1225990"/>
      <w:bookmarkEnd w:id="2"/>
      <w:r w:rsidRPr="00127D79">
        <w:t>Performance Evidence</w:t>
      </w:r>
    </w:p>
    <w:p w:rsidR="00000000" w:rsidRPr="00127D79" w:rsidP="00146C0B">
      <w:pPr>
        <w:pStyle w:val="BodyText"/>
      </w:pPr>
      <w:r w:rsidRPr="00127D79">
        <w:t>Before competency can be determined, individuals must have competently serviced vehicles after assembly on a minimum of two occasions.</w:t>
      </w:r>
    </w:p>
    <w:p w:rsidR="00000000" w:rsidRPr="00127D79" w:rsidP="00146C0B">
      <w:pPr>
        <w:pStyle w:val="BodyText"/>
      </w:pPr>
      <w:r w:rsidRPr="00127D79">
        <w:t>Individuals must demonstrate they can:</w:t>
      </w:r>
    </w:p>
    <w:p w:rsidR="00000000" w:rsidRPr="00127D79" w:rsidP="00127D79">
      <w:pPr>
        <w:pStyle w:val="ListBullet"/>
      </w:pPr>
      <w:r w:rsidRPr="00127D79">
        <w:t>follow workplace procedures and work health and safety (WHS) requirements when se</w:t>
      </w:r>
      <w:r w:rsidRPr="00127D79">
        <w:t>rvicing vehicles after assembly</w:t>
      </w:r>
    </w:p>
    <w:p w:rsidR="00000000" w:rsidRPr="00127D79" w:rsidP="00127D79">
      <w:pPr>
        <w:pStyle w:val="ListBullet"/>
      </w:pPr>
      <w:r w:rsidRPr="00127D79">
        <w:t>read and interpret job sheets and specification sheets</w:t>
      </w:r>
    </w:p>
    <w:p w:rsidR="00000000" w:rsidRPr="00127D79" w:rsidP="00127D79">
      <w:pPr>
        <w:pStyle w:val="ListBullet"/>
      </w:pPr>
      <w:r w:rsidRPr="00127D79">
        <w:t>locate and identify vehicle service schedules and information</w:t>
      </w:r>
    </w:p>
    <w:p w:rsidR="00000000" w:rsidRPr="00127D79" w:rsidP="00127D79">
      <w:pPr>
        <w:pStyle w:val="ListBullet"/>
      </w:pPr>
      <w:r w:rsidRPr="00127D79">
        <w:t>select and use appropriate lubricants, greases and special fluids, including:</w:t>
      </w:r>
    </w:p>
    <w:p w:rsidR="00000000" w:rsidRPr="00127D79" w:rsidP="00127D79">
      <w:pPr>
        <w:pStyle w:val="ListBullet2"/>
      </w:pPr>
      <w:r w:rsidRPr="00127D79">
        <w:t>greases</w:t>
      </w:r>
    </w:p>
    <w:p w:rsidR="00000000" w:rsidRPr="00127D79" w:rsidP="00127D79">
      <w:pPr>
        <w:pStyle w:val="ListBullet2"/>
      </w:pPr>
      <w:r w:rsidRPr="00127D79">
        <w:t>oils</w:t>
      </w:r>
    </w:p>
    <w:p w:rsidR="00000000" w:rsidRPr="00127D79" w:rsidP="00127D79">
      <w:pPr>
        <w:pStyle w:val="ListBullet2"/>
      </w:pPr>
      <w:r w:rsidRPr="00127D79">
        <w:t>special fluids.</w:t>
      </w:r>
    </w:p>
    <w:p w:rsidR="00000000" w:rsidRPr="00127D79" w:rsidP="00127D79">
      <w:pPr>
        <w:pStyle w:val="ListBullet"/>
      </w:pPr>
      <w:r w:rsidRPr="00127D79">
        <w:t>service and bleed air and hydraulic systems and components using safe work practices</w:t>
      </w:r>
    </w:p>
    <w:p w:rsidR="00000000" w:rsidRPr="00127D79" w:rsidP="00127D79">
      <w:pPr>
        <w:pStyle w:val="ListBullet"/>
      </w:pPr>
      <w:r w:rsidRPr="00127D79">
        <w:t xml:space="preserve">select and use service tools and equipment </w:t>
      </w:r>
    </w:p>
    <w:p w:rsidR="00000000" w:rsidRPr="00127D79" w:rsidP="00127D79">
      <w:pPr>
        <w:pStyle w:val="ListBullet"/>
      </w:pPr>
      <w:r w:rsidRPr="00127D79">
        <w:t xml:space="preserve">dispose of waste and used materials appropriately, and reuse or recycle where appropriate  </w:t>
      </w:r>
    </w:p>
    <w:p w:rsidR="00000000" w:rsidRPr="00127D79" w:rsidP="00127D79">
      <w:pPr>
        <w:pStyle w:val="ListBullet"/>
      </w:pPr>
      <w:r w:rsidRPr="00127D79">
        <w:t>maintain and complete workplace r</w:t>
      </w:r>
      <w:r w:rsidRPr="00127D79">
        <w:t>ecords</w:t>
      </w:r>
    </w:p>
    <w:p w:rsidR="00000000" w:rsidRPr="00127D79" w:rsidP="00127D79">
      <w:pPr>
        <w:pStyle w:val="AllowPageBreak"/>
      </w:pPr>
    </w:p>
    <w:p w:rsidR="00000000" w:rsidRPr="00127D79" w:rsidP="00127D79">
      <w:pPr>
        <w:pStyle w:val="Heading1"/>
      </w:pPr>
      <w:bookmarkStart w:id="3" w:name="O_1225989"/>
      <w:bookmarkEnd w:id="3"/>
      <w:r w:rsidRPr="00127D79">
        <w:t>Knowledge Evidence</w:t>
      </w:r>
    </w:p>
    <w:p w:rsidR="00000000" w:rsidRPr="00127D79" w:rsidP="00146C0B">
      <w:pPr>
        <w:pStyle w:val="BodyText"/>
      </w:pPr>
      <w:r w:rsidRPr="00127D79">
        <w:t xml:space="preserve">The candidate must be able to demonstrate knowledge to complete the tasks outlined in the elements and performance criteria of this unit. This includes: </w:t>
      </w:r>
    </w:p>
    <w:p w:rsidR="00000000" w:rsidRPr="00127D79" w:rsidP="00127D79">
      <w:pPr>
        <w:pStyle w:val="ListBullet"/>
      </w:pPr>
      <w:r w:rsidRPr="00127D79">
        <w:t>types and location of vehicle systems that require after assembly servicing, including:</w:t>
      </w:r>
    </w:p>
    <w:p w:rsidR="00000000" w:rsidRPr="00127D79" w:rsidP="00127D79">
      <w:pPr>
        <w:pStyle w:val="ListBullet"/>
      </w:pPr>
      <w:r w:rsidRPr="00127D79">
        <w:t>types of air and hydraulic systems</w:t>
      </w:r>
    </w:p>
    <w:p w:rsidR="00000000" w:rsidRPr="00127D79" w:rsidP="00127D79">
      <w:pPr>
        <w:pStyle w:val="ListBullet"/>
      </w:pPr>
      <w:r w:rsidRPr="00127D79">
        <w:t>types and function of reservoirs and mechanical assemblies that require filling with fluids and lubricants</w:t>
      </w:r>
    </w:p>
    <w:p w:rsidR="00000000" w:rsidRPr="00127D79" w:rsidP="00127D79">
      <w:pPr>
        <w:pStyle w:val="ListBullet"/>
      </w:pPr>
      <w:r w:rsidRPr="00127D79">
        <w:t>procedures for servicing v</w:t>
      </w:r>
      <w:r w:rsidRPr="00127D79">
        <w:t>ehicle systems, including:</w:t>
      </w:r>
    </w:p>
    <w:p w:rsidR="00000000" w:rsidRPr="00127D79" w:rsidP="00127D79">
      <w:pPr>
        <w:pStyle w:val="ListBullet2"/>
      </w:pPr>
      <w:r w:rsidRPr="00127D79">
        <w:t>WHS and environmental procedures for servicing vehicles after assembly</w:t>
      </w:r>
    </w:p>
    <w:p w:rsidR="00000000" w:rsidRPr="00127D79" w:rsidP="00127D79">
      <w:pPr>
        <w:pStyle w:val="ListBullet2"/>
      </w:pPr>
      <w:r w:rsidRPr="00127D79">
        <w:t>types and layout of vehicle servicing schedules</w:t>
      </w:r>
    </w:p>
    <w:p w:rsidR="00000000" w:rsidRPr="00127D79" w:rsidP="00127D79">
      <w:pPr>
        <w:pStyle w:val="ListBullet2"/>
      </w:pPr>
      <w:r w:rsidRPr="00127D79">
        <w:t>types and characteristics of lubricants, greases and fluids</w:t>
      </w:r>
    </w:p>
    <w:p w:rsidR="00000000" w:rsidRPr="00127D79" w:rsidP="00127D79">
      <w:pPr>
        <w:pStyle w:val="ListBullet2"/>
      </w:pPr>
      <w:r w:rsidRPr="00127D79">
        <w:t>servicing equipment operating procedures</w:t>
      </w:r>
    </w:p>
    <w:p w:rsidR="00000000" w:rsidRPr="00127D79" w:rsidP="00127D79">
      <w:pPr>
        <w:pStyle w:val="ListBullet2"/>
      </w:pPr>
      <w:r w:rsidRPr="00127D79">
        <w:t xml:space="preserve">methods </w:t>
      </w:r>
      <w:r w:rsidRPr="00127D79">
        <w:t xml:space="preserve">for identifying faults when filling reservoirs and mechanical assemblies, and bleeding air and hydraulic systems  </w:t>
      </w:r>
    </w:p>
    <w:p w:rsidR="00000000" w:rsidRPr="00127D79" w:rsidP="00127D79">
      <w:pPr>
        <w:pStyle w:val="ListBullet"/>
      </w:pPr>
      <w:r w:rsidRPr="00127D79">
        <w:t>procedures for completing servicing documentation.</w:t>
      </w:r>
    </w:p>
    <w:p w:rsidR="00000000" w:rsidRPr="00127D79" w:rsidP="00127D79">
      <w:pPr>
        <w:pStyle w:val="AllowPageBreak"/>
      </w:pPr>
    </w:p>
    <w:p w:rsidR="00000000" w:rsidRPr="00127D79" w:rsidP="00127D79">
      <w:pPr>
        <w:pStyle w:val="Heading1"/>
      </w:pPr>
      <w:bookmarkStart w:id="4" w:name="O_1225988"/>
      <w:bookmarkEnd w:id="4"/>
      <w:r w:rsidRPr="00127D79">
        <w:t>Assessment Conditions</w:t>
      </w:r>
    </w:p>
    <w:p w:rsidR="00000000" w:rsidRPr="00127D79" w:rsidP="00146C0B">
      <w:pPr>
        <w:pStyle w:val="BodyText"/>
      </w:pPr>
      <w:r w:rsidRPr="00127D79">
        <w:t>Assessors must satisfy SNR/AQTF assessor requirements.</w:t>
      </w:r>
    </w:p>
    <w:p w:rsidR="00000000" w:rsidRPr="00127D79" w:rsidP="00146C0B">
      <w:pPr>
        <w:pStyle w:val="BodyText"/>
      </w:pPr>
      <w:r w:rsidRPr="00127D79">
        <w:t>Competency is to be assessed in the workplace or a simulated environment that accurately reflects performance in a real workplace setting.</w:t>
      </w:r>
    </w:p>
    <w:p w:rsidR="00000000" w:rsidRPr="00127D79" w:rsidP="00146C0B">
      <w:pPr>
        <w:pStyle w:val="BodyText"/>
      </w:pPr>
      <w:r w:rsidRPr="00127D79">
        <w:t xml:space="preserve">Where assessment of competency includes third-party evidence, </w:t>
      </w:r>
      <w:r w:rsidRPr="00127D79">
        <w:t>individuals must provide evidence that links them to the vehicles that they have serviced after assembly, e.g. servicing work sheets.</w:t>
      </w:r>
    </w:p>
    <w:p w:rsidR="00000000" w:rsidRPr="00127D79" w:rsidP="00146C0B">
      <w:pPr>
        <w:pStyle w:val="BodyText"/>
      </w:pPr>
      <w:r w:rsidRPr="00127D79">
        <w:t>Assessors must verify performance evidence through questioning on skills and knowledge to ensure correct interpretation an</w:t>
      </w:r>
      <w:r w:rsidRPr="00127D79">
        <w:t>d application.</w:t>
      </w:r>
    </w:p>
    <w:p w:rsidR="00000000" w:rsidRPr="00127D79" w:rsidP="00146C0B">
      <w:pPr>
        <w:pStyle w:val="BodyText"/>
      </w:pPr>
      <w:r w:rsidRPr="00127D79">
        <w:t>The following resources must be made available:</w:t>
      </w:r>
    </w:p>
    <w:p w:rsidR="00000000" w:rsidRPr="00127D79" w:rsidP="00127D79">
      <w:pPr>
        <w:pStyle w:val="ListBullet"/>
      </w:pPr>
      <w:r w:rsidRPr="00127D79">
        <w:t>automotive manufacturing workplace or simulated workplace</w:t>
      </w:r>
    </w:p>
    <w:p w:rsidR="00000000" w:rsidRPr="00127D79" w:rsidP="00127D79">
      <w:pPr>
        <w:pStyle w:val="ListBullet"/>
      </w:pPr>
      <w:r w:rsidRPr="00127D79">
        <w:t>vehicles requiring after assembly servicing</w:t>
      </w:r>
    </w:p>
    <w:p w:rsidR="00000000" w:rsidRPr="00127D79" w:rsidP="00127D79">
      <w:pPr>
        <w:pStyle w:val="ListBullet"/>
      </w:pPr>
      <w:r w:rsidRPr="00127D79">
        <w:t>workplace procedures relating to servicing vehicles after assembly</w:t>
      </w:r>
    </w:p>
    <w:p w:rsidR="00000000" w:rsidRPr="00127D79" w:rsidP="00127D79">
      <w:pPr>
        <w:pStyle w:val="ListBullet"/>
      </w:pPr>
      <w:r w:rsidRPr="00127D79">
        <w:t xml:space="preserve">WHS equipment relevant </w:t>
      </w:r>
      <w:r w:rsidRPr="00127D79">
        <w:t>to servicing vehicles after assembly</w:t>
      </w:r>
    </w:p>
    <w:p w:rsidR="00000000" w:rsidRPr="00127D79" w:rsidP="00127D79">
      <w:pPr>
        <w:pStyle w:val="ListBullet"/>
      </w:pPr>
      <w:r w:rsidRPr="00127D79">
        <w:t>vehicle after assembly servicing specifications</w:t>
      </w:r>
    </w:p>
    <w:p w:rsidR="00000000" w:rsidRPr="00127D79" w:rsidP="00127D79">
      <w:pPr>
        <w:pStyle w:val="ListBullet"/>
      </w:pPr>
      <w:r w:rsidRPr="00127D79">
        <w:t xml:space="preserve">tools, equipment, lubricants, fluids and machinery required for the after assembly service of vehicles </w:t>
      </w:r>
    </w:p>
    <w:p w:rsidR="00000000" w:rsidRPr="00127D79" w:rsidP="00127D79">
      <w:pPr>
        <w:pStyle w:val="ListBullet"/>
      </w:pPr>
      <w:r w:rsidRPr="00127D79">
        <w:t>vehicle after assembly servicing work sheets.</w:t>
      </w:r>
    </w:p>
    <w:p w:rsidR="00000000" w:rsidRPr="00127D79" w:rsidP="00127D79">
      <w:pPr>
        <w:pStyle w:val="AllowPageBreak"/>
      </w:pPr>
    </w:p>
    <w:p w:rsidR="00000000" w:rsidRPr="00127D79" w:rsidP="00127D79">
      <w:pPr>
        <w:pStyle w:val="Heading1"/>
      </w:pPr>
      <w:bookmarkStart w:id="5" w:name="O_1226000"/>
      <w:bookmarkEnd w:id="5"/>
      <w:r w:rsidRPr="00127D79">
        <w:t>Li</w:t>
      </w:r>
      <w:r w:rsidRPr="00127D79">
        <w:t>nks</w:t>
      </w:r>
    </w:p>
    <w:p w:rsidR="00000000" w:rsidRPr="00127D79" w:rsidP="00146C0B">
      <w:pPr>
        <w:pStyle w:val="BodyText"/>
      </w:pPr>
      <w:r w:rsidRPr="00127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A6D7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27D79" w:rsidP="00127D79"/>
    <w:sectPr w:rsidSect="00127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79" w:rsidRPr="00146C0B" w:rsidP="00146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C0B" w:rsidP="00127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C0B" w:rsidP="00127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C0B" w:rsidP="00127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D79" w:rsidRPr="00146C0B" w:rsidP="00146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C0B" w:rsidRPr="002D2AF8" w:rsidP="00127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AUMGTA002 Service vehicle after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146C0B" w:rsidP="00127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09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6B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709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D79"/>
  </w:style>
  <w:style w:type="character" w:customStyle="1" w:styleId="Heading1Char">
    <w:name w:val="Heading 1 Char"/>
    <w:basedOn w:val="DefaultParagraphFont"/>
    <w:link w:val="Heading1"/>
    <w:rsid w:val="00127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D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7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7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D79"/>
    <w:rPr>
      <w:b/>
      <w:spacing w:val="0"/>
    </w:rPr>
  </w:style>
  <w:style w:type="paragraph" w:customStyle="1" w:styleId="SuperTitle">
    <w:name w:val="SuperTitle"/>
    <w:basedOn w:val="Title"/>
    <w:rsid w:val="00127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D79"/>
    <w:rPr>
      <w:i/>
    </w:rPr>
  </w:style>
  <w:style w:type="paragraph" w:styleId="Caption">
    <w:name w:val="caption"/>
    <w:basedOn w:val="BodyText"/>
    <w:next w:val="Normal"/>
    <w:qFormat/>
    <w:rsid w:val="00127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D79"/>
  </w:style>
  <w:style w:type="paragraph" w:styleId="TableofFigures">
    <w:name w:val="table of figures"/>
    <w:basedOn w:val="Normal"/>
    <w:next w:val="Normal"/>
    <w:semiHidden/>
    <w:rsid w:val="00127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D79"/>
    <w:rPr>
      <w:rFonts w:ascii="Wingdings" w:hAnsi="Wingdings"/>
    </w:rPr>
  </w:style>
  <w:style w:type="paragraph" w:customStyle="1" w:styleId="TableHeading">
    <w:name w:val="Table Heading"/>
    <w:basedOn w:val="HeadingBase"/>
    <w:rsid w:val="00127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D79"/>
    <w:rPr>
      <w:color w:val="0033CC"/>
      <w:u w:val="none"/>
    </w:rPr>
  </w:style>
  <w:style w:type="paragraph" w:customStyle="1" w:styleId="BodyTextRight">
    <w:name w:val="Body Text Right"/>
    <w:basedOn w:val="BodyText"/>
    <w:rsid w:val="00127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D79"/>
    <w:rPr>
      <w:sz w:val="32"/>
    </w:rPr>
  </w:style>
  <w:style w:type="paragraph" w:customStyle="1" w:styleId="HeadingProcedure">
    <w:name w:val="Heading Procedure"/>
    <w:basedOn w:val="HeadingBase"/>
    <w:next w:val="Normal"/>
    <w:rsid w:val="00127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D79"/>
    <w:pPr>
      <w:spacing w:before="60" w:after="60"/>
    </w:pPr>
  </w:style>
  <w:style w:type="paragraph" w:styleId="ListContinue">
    <w:name w:val="List Continue"/>
    <w:basedOn w:val="List"/>
    <w:rsid w:val="00127D79"/>
    <w:pPr>
      <w:ind w:firstLine="0"/>
    </w:pPr>
  </w:style>
  <w:style w:type="paragraph" w:customStyle="1" w:styleId="ListNote">
    <w:name w:val="List Note"/>
    <w:basedOn w:val="List"/>
    <w:rsid w:val="00127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D79"/>
    <w:rPr>
      <w:rFonts w:ascii="Courier New" w:hAnsi="Courier New"/>
    </w:rPr>
  </w:style>
  <w:style w:type="paragraph" w:customStyle="1" w:styleId="NoteBullet">
    <w:name w:val="Note Bullet"/>
    <w:basedOn w:val="Note"/>
    <w:rsid w:val="00127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D79"/>
    <w:rPr>
      <w:b/>
      <w:smallCaps/>
    </w:rPr>
  </w:style>
  <w:style w:type="paragraph" w:customStyle="1" w:styleId="TableListNumber">
    <w:name w:val="Table List Number"/>
    <w:basedOn w:val="ListNumber"/>
    <w:rsid w:val="00127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D79"/>
    <w:pPr>
      <w:numPr>
        <w:numId w:val="9"/>
      </w:numPr>
    </w:pPr>
  </w:style>
  <w:style w:type="paragraph" w:customStyle="1" w:styleId="ListAlpha2">
    <w:name w:val="List Alpha 2"/>
    <w:basedOn w:val="List2"/>
    <w:rsid w:val="00127D79"/>
    <w:pPr>
      <w:numPr>
        <w:numId w:val="8"/>
      </w:numPr>
    </w:pPr>
  </w:style>
  <w:style w:type="paragraph" w:styleId="List2">
    <w:name w:val="List 2"/>
    <w:basedOn w:val="BodyText"/>
    <w:rsid w:val="00127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D79"/>
    <w:pPr>
      <w:numPr>
        <w:numId w:val="4"/>
      </w:numPr>
    </w:pPr>
  </w:style>
  <w:style w:type="paragraph" w:styleId="ListContinue2">
    <w:name w:val="List Continue 2"/>
    <w:basedOn w:val="List2"/>
    <w:rsid w:val="00127D79"/>
    <w:pPr>
      <w:ind w:firstLine="0"/>
    </w:pPr>
  </w:style>
  <w:style w:type="paragraph" w:styleId="ListContinue3">
    <w:name w:val="List Continue 3"/>
    <w:basedOn w:val="List3"/>
    <w:rsid w:val="00127D79"/>
    <w:pPr>
      <w:ind w:left="1021" w:firstLine="0"/>
    </w:pPr>
  </w:style>
  <w:style w:type="paragraph" w:styleId="ListContinue4">
    <w:name w:val="List Continue 4"/>
    <w:basedOn w:val="List4"/>
    <w:rsid w:val="00127D79"/>
    <w:pPr>
      <w:ind w:firstLine="0"/>
    </w:pPr>
  </w:style>
  <w:style w:type="paragraph" w:styleId="ListContinue5">
    <w:name w:val="List Continue 5"/>
    <w:basedOn w:val="List5"/>
    <w:rsid w:val="00127D79"/>
    <w:pPr>
      <w:ind w:firstLine="0"/>
    </w:pPr>
  </w:style>
  <w:style w:type="paragraph" w:styleId="ListNumber3">
    <w:name w:val="List Number 3"/>
    <w:basedOn w:val="List3"/>
    <w:rsid w:val="00127D79"/>
    <w:pPr>
      <w:numPr>
        <w:numId w:val="5"/>
      </w:numPr>
    </w:pPr>
  </w:style>
  <w:style w:type="paragraph" w:styleId="ListNumber4">
    <w:name w:val="List Number 4"/>
    <w:basedOn w:val="List4"/>
    <w:rsid w:val="00127D79"/>
    <w:pPr>
      <w:numPr>
        <w:numId w:val="6"/>
      </w:numPr>
    </w:pPr>
  </w:style>
  <w:style w:type="paragraph" w:styleId="ListNumber5">
    <w:name w:val="List Number 5"/>
    <w:basedOn w:val="List5"/>
    <w:rsid w:val="00127D79"/>
    <w:pPr>
      <w:numPr>
        <w:numId w:val="7"/>
      </w:numPr>
    </w:pPr>
  </w:style>
  <w:style w:type="paragraph" w:styleId="BlockText">
    <w:name w:val="Block Text"/>
    <w:basedOn w:val="Normal"/>
    <w:rsid w:val="00127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D79"/>
    <w:rPr>
      <w:sz w:val="16"/>
      <w:vertAlign w:val="superscript"/>
    </w:rPr>
  </w:style>
  <w:style w:type="character" w:customStyle="1" w:styleId="Symbols">
    <w:name w:val="Symbols"/>
    <w:basedOn w:val="DefaultParagraphFont"/>
    <w:rsid w:val="00127D79"/>
    <w:rPr>
      <w:rFonts w:ascii="Symbol" w:hAnsi="Symbol"/>
    </w:rPr>
  </w:style>
  <w:style w:type="character" w:customStyle="1" w:styleId="MenuOptions">
    <w:name w:val="Menu Options"/>
    <w:basedOn w:val="DefaultParagraphFont"/>
    <w:rsid w:val="00127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D79"/>
    <w:rPr>
      <w:b/>
    </w:rPr>
  </w:style>
  <w:style w:type="character" w:customStyle="1" w:styleId="Underlined">
    <w:name w:val="Underlined"/>
    <w:basedOn w:val="DefaultParagraphFont"/>
    <w:rsid w:val="00127D79"/>
    <w:rPr>
      <w:u w:val="single"/>
    </w:rPr>
  </w:style>
  <w:style w:type="paragraph" w:customStyle="1" w:styleId="TableBodyTextRight">
    <w:name w:val="Table Body Text Right"/>
    <w:basedOn w:val="TableBodyText"/>
    <w:rsid w:val="00127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D79"/>
    <w:rPr>
      <w:sz w:val="18"/>
    </w:rPr>
  </w:style>
  <w:style w:type="paragraph" w:customStyle="1" w:styleId="BodySmallRight">
    <w:name w:val="Body Small Right"/>
    <w:basedOn w:val="BodyTextRight"/>
    <w:rsid w:val="00127D79"/>
    <w:rPr>
      <w:sz w:val="18"/>
      <w:szCs w:val="18"/>
    </w:rPr>
  </w:style>
  <w:style w:type="paragraph" w:customStyle="1" w:styleId="MarginEdition">
    <w:name w:val="Margin Edition"/>
    <w:basedOn w:val="MarginNote"/>
    <w:rsid w:val="00127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D79"/>
    <w:rPr>
      <w:sz w:val="2"/>
      <w:szCs w:val="2"/>
    </w:rPr>
  </w:style>
  <w:style w:type="character" w:customStyle="1" w:styleId="Small">
    <w:name w:val="Small"/>
    <w:basedOn w:val="DefaultParagraphFont"/>
    <w:rsid w:val="00127D79"/>
    <w:rPr>
      <w:sz w:val="16"/>
    </w:rPr>
  </w:style>
  <w:style w:type="paragraph" w:customStyle="1" w:styleId="WideTable">
    <w:name w:val="Wide Table"/>
    <w:basedOn w:val="Normal"/>
    <w:rsid w:val="00127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D79"/>
  </w:style>
  <w:style w:type="paragraph" w:styleId="Quote">
    <w:name w:val="Quote"/>
    <w:basedOn w:val="Heading1"/>
    <w:link w:val="QuoteChar"/>
    <w:qFormat/>
    <w:rsid w:val="00127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D79"/>
    <w:pPr>
      <w:pageBreakBefore/>
    </w:pPr>
  </w:style>
  <w:style w:type="paragraph" w:customStyle="1" w:styleId="Border">
    <w:name w:val="Border"/>
    <w:basedOn w:val="Normal"/>
    <w:qFormat/>
    <w:rsid w:val="00127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D79"/>
    <w:rPr>
      <w:u w:val="single"/>
    </w:rPr>
  </w:style>
  <w:style w:type="character" w:customStyle="1" w:styleId="BoldandItalics">
    <w:name w:val="Bold and Italics"/>
    <w:qFormat/>
    <w:rsid w:val="00127D79"/>
    <w:rPr>
      <w:b/>
      <w:i/>
      <w:u w:val="none"/>
    </w:rPr>
  </w:style>
  <w:style w:type="paragraph" w:styleId="BalloonText">
    <w:name w:val="Balloon Text"/>
    <w:basedOn w:val="Normal"/>
    <w:link w:val="BalloonTextChar"/>
    <w:rsid w:val="00127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D79"/>
    <w:pPr>
      <w:spacing w:before="0" w:after="0"/>
    </w:pPr>
  </w:style>
  <w:style w:type="paragraph" w:customStyle="1" w:styleId="BodyTextBold">
    <w:name w:val="Body Text Bold"/>
    <w:basedOn w:val="BodyText"/>
    <w:qFormat/>
    <w:rsid w:val="00127D79"/>
    <w:rPr>
      <w:b/>
    </w:rPr>
  </w:style>
  <w:style w:type="character" w:styleId="Hyperlink">
    <w:name w:val="Hyperlink"/>
    <w:basedOn w:val="DefaultParagraphFont"/>
    <w:uiPriority w:val="99"/>
    <w:unhideWhenUsed/>
    <w:rsid w:val="00146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3233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AUMGTA002 Service vehicle after assembly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