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0166" w:rsidP="00E501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AUMGTA001 Read and interpret work orders and working drawings</w:t>
      </w:r>
      <w:r>
        <w:fldChar w:fldCharType="end"/>
      </w:r>
    </w:p>
    <w:p w:rsidR="00E50166" w:rsidP="00E50166">
      <w:pPr>
        <w:pStyle w:val="Version"/>
        <w:sectPr w:rsidSect="002A00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00D2" w:rsidP="002A00D2">
      <w:pPr>
        <w:pStyle w:val="SuperHeading"/>
      </w:pPr>
      <w:r w:rsidRPr="002A00D2">
        <w:t>Assessment Requirements for AUMGTA001 Read and interpret work orders and working drawings</w:t>
      </w:r>
    </w:p>
    <w:p w:rsidR="00000000" w:rsidRPr="002A00D2" w:rsidP="002A00D2">
      <w:pPr>
        <w:pStyle w:val="Heading1"/>
      </w:pPr>
      <w:bookmarkStart w:id="1" w:name="O_575294"/>
      <w:bookmarkEnd w:id="1"/>
      <w:r w:rsidRPr="002A00D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5016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D2" w:rsidP="002A00D2">
            <w:pPr>
              <w:pStyle w:val="BodyText"/>
            </w:pPr>
            <w:r w:rsidRPr="002A00D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D2">
            <w:pPr>
              <w:pStyle w:val="BodyText"/>
              <w:rPr>
                <w:lang w:val="en-NZ"/>
              </w:rPr>
            </w:pPr>
            <w:r w:rsidRPr="002A00D2">
              <w:rPr>
                <w:rStyle w:val="SpecialBold"/>
              </w:rPr>
              <w:t>Comment</w:t>
            </w:r>
          </w:p>
        </w:tc>
      </w:tr>
      <w:tr w:rsidTr="00E5016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D2">
            <w:pPr>
              <w:pStyle w:val="BodyText"/>
              <w:rPr>
                <w:lang w:val="en-NZ"/>
              </w:rPr>
            </w:pPr>
            <w:r w:rsidRPr="002A00D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D2" w:rsidP="002A00D2">
            <w:pPr>
              <w:pStyle w:val="BodyText"/>
            </w:pPr>
            <w:r w:rsidRPr="002A00D2">
              <w:t>Unit updated to reflect the new standards for Training Packages</w:t>
            </w:r>
          </w:p>
          <w:p w:rsidR="00000000" w:rsidRPr="002A00D2" w:rsidP="002A00D2">
            <w:pPr>
              <w:pStyle w:val="BodyText"/>
            </w:pPr>
            <w:r w:rsidRPr="002A00D2">
              <w:t>Repl</w:t>
            </w:r>
            <w:r w:rsidRPr="002A00D2">
              <w:t>aces AUMGTA2001 Read and interpret working drawings and work orders</w:t>
            </w:r>
          </w:p>
        </w:tc>
      </w:tr>
    </w:tbl>
    <w:p w:rsidR="00000000" w:rsidRPr="002A00D2" w:rsidP="002A00D2">
      <w:pPr>
        <w:pStyle w:val="BodyText"/>
      </w:pPr>
    </w:p>
    <w:p w:rsidR="00000000" w:rsidRPr="002A00D2" w:rsidP="002A00D2">
      <w:pPr>
        <w:pStyle w:val="AllowPageBreak"/>
      </w:pPr>
    </w:p>
    <w:p w:rsidR="00000000" w:rsidRPr="002A00D2" w:rsidP="002A00D2">
      <w:pPr>
        <w:pStyle w:val="Heading1"/>
      </w:pPr>
      <w:bookmarkStart w:id="2" w:name="O_575295"/>
      <w:bookmarkEnd w:id="2"/>
      <w:r w:rsidRPr="002A00D2">
        <w:t>Performance Evidence</w:t>
      </w:r>
    </w:p>
    <w:p w:rsidR="00000000" w:rsidRPr="002A00D2" w:rsidP="002A00D2">
      <w:pPr>
        <w:pStyle w:val="BodyText"/>
      </w:pPr>
      <w:r w:rsidRPr="002A00D2">
        <w:t>Before competency can be determined, individuals must competently read and interpret work orders and working drawings on a minimum of two occasions.</w:t>
      </w:r>
    </w:p>
    <w:p w:rsidR="00000000" w:rsidRPr="002A00D2" w:rsidP="002A00D2">
      <w:pPr>
        <w:pStyle w:val="BodyText"/>
      </w:pPr>
      <w:r w:rsidRPr="002A00D2">
        <w:t>Individuals must demonstrate they can:</w:t>
      </w:r>
    </w:p>
    <w:p w:rsidR="00000000" w:rsidRPr="002A00D2" w:rsidP="002A00D2">
      <w:pPr>
        <w:pStyle w:val="ListBullet"/>
      </w:pPr>
      <w:r w:rsidRPr="002A00D2">
        <w:t>establish that a working drawing complies with job, and original equipment manufacturer (OEM) and material specifications</w:t>
      </w:r>
    </w:p>
    <w:p w:rsidR="00000000" w:rsidRPr="002A00D2" w:rsidP="002A00D2">
      <w:pPr>
        <w:pStyle w:val="ListBullet"/>
      </w:pPr>
      <w:r w:rsidRPr="002A00D2">
        <w:t xml:space="preserve">identify job requirements from work orders and working drawings </w:t>
      </w:r>
    </w:p>
    <w:p w:rsidR="00000000" w:rsidRPr="002A00D2" w:rsidP="002A00D2">
      <w:pPr>
        <w:pStyle w:val="ListBullet"/>
      </w:pPr>
      <w:r w:rsidRPr="002A00D2">
        <w:t>identify job processes and material requirements according to workplace procedures.</w:t>
      </w:r>
    </w:p>
    <w:p w:rsidR="00000000" w:rsidRPr="002A00D2" w:rsidP="002A00D2">
      <w:pPr>
        <w:pStyle w:val="AllowPageBreak"/>
      </w:pPr>
    </w:p>
    <w:p w:rsidR="00000000" w:rsidRPr="002A00D2" w:rsidP="002A00D2">
      <w:pPr>
        <w:pStyle w:val="Heading1"/>
      </w:pPr>
      <w:bookmarkStart w:id="3" w:name="O_575296"/>
      <w:bookmarkEnd w:id="3"/>
      <w:r w:rsidRPr="002A00D2">
        <w:t>Knowledge Evidence</w:t>
      </w:r>
    </w:p>
    <w:p w:rsidR="00000000" w:rsidRPr="002A00D2" w:rsidP="002A00D2">
      <w:pPr>
        <w:pStyle w:val="BodyText"/>
      </w:pPr>
      <w:r w:rsidRPr="002A00D2">
        <w:t>Individuals must be able to demonstrate knowledge of:</w:t>
      </w:r>
    </w:p>
    <w:p w:rsidR="00000000" w:rsidRPr="002A00D2" w:rsidP="002A00D2">
      <w:pPr>
        <w:pStyle w:val="ListBullet"/>
      </w:pPr>
      <w:r w:rsidRPr="002A00D2">
        <w:t>workplace procedures relating to reading and interpreting work orders and working</w:t>
      </w:r>
      <w:r w:rsidRPr="002A00D2">
        <w:t xml:space="preserve"> drawings</w:t>
      </w:r>
    </w:p>
    <w:p w:rsidR="00000000" w:rsidRPr="002A00D2" w:rsidP="002A00D2">
      <w:pPr>
        <w:pStyle w:val="ListBullet"/>
      </w:pPr>
      <w:r w:rsidRPr="002A00D2">
        <w:t xml:space="preserve">types and layout of work orders and working drawings, including symbols, codes and legends </w:t>
      </w:r>
    </w:p>
    <w:p w:rsidR="00000000" w:rsidRPr="002A00D2" w:rsidP="002A00D2">
      <w:pPr>
        <w:pStyle w:val="ListBullet"/>
      </w:pPr>
      <w:r w:rsidRPr="002A00D2">
        <w:t>procedures for identifying job specifications, processes and materials.</w:t>
      </w:r>
    </w:p>
    <w:p w:rsidR="00000000" w:rsidRPr="002A00D2" w:rsidP="002A00D2">
      <w:pPr>
        <w:pStyle w:val="AllowPageBreak"/>
      </w:pPr>
    </w:p>
    <w:p w:rsidR="00000000" w:rsidRPr="002A00D2" w:rsidP="002A00D2">
      <w:pPr>
        <w:pStyle w:val="Heading1"/>
      </w:pPr>
      <w:bookmarkStart w:id="4" w:name="O_575297"/>
      <w:bookmarkEnd w:id="4"/>
      <w:r w:rsidRPr="002A00D2">
        <w:t>Assessment Conditions</w:t>
      </w:r>
    </w:p>
    <w:p w:rsidR="00000000" w:rsidRPr="002A00D2" w:rsidP="002A00D2">
      <w:pPr>
        <w:pStyle w:val="BodyText"/>
      </w:pPr>
      <w:r w:rsidRPr="002A00D2">
        <w:t>Assessors must satisfy SNR/AQTF assessor re</w:t>
      </w:r>
      <w:r w:rsidRPr="002A00D2">
        <w:t>quirements.</w:t>
      </w:r>
    </w:p>
    <w:p w:rsidR="00000000" w:rsidRPr="002A00D2" w:rsidP="002A00D2">
      <w:pPr>
        <w:pStyle w:val="BodyText"/>
      </w:pPr>
      <w:r w:rsidRPr="002A00D2">
        <w:t>Competency is to be assessed in the workplace or a simulated environment that accurately reflects performance in a real workplace setting.</w:t>
      </w:r>
    </w:p>
    <w:p w:rsidR="00000000" w:rsidRPr="002A00D2" w:rsidP="002A00D2">
      <w:pPr>
        <w:pStyle w:val="BodyText"/>
      </w:pPr>
      <w:r w:rsidRPr="002A00D2">
        <w:t>Where assessment of competency includes third-party evidence, individuals must provide evidence that they</w:t>
      </w:r>
      <w:r w:rsidRPr="002A00D2">
        <w:t xml:space="preserve"> have interpreted work orders and working drawings, e.g. work sheets.</w:t>
      </w:r>
    </w:p>
    <w:p w:rsidR="00000000" w:rsidRPr="002A00D2" w:rsidP="002A00D2">
      <w:pPr>
        <w:pStyle w:val="BodyText"/>
      </w:pPr>
      <w:r w:rsidRPr="002A00D2">
        <w:t>Assessors must verify performance evidence through questioning on skills and knowledge to ensure correct interpretation and application.</w:t>
      </w:r>
    </w:p>
    <w:p w:rsidR="00000000" w:rsidRPr="002A00D2" w:rsidP="002A00D2">
      <w:pPr>
        <w:pStyle w:val="BodyText"/>
      </w:pPr>
      <w:r w:rsidRPr="002A00D2">
        <w:t>The following resources must be made available:</w:t>
      </w:r>
    </w:p>
    <w:p w:rsidR="00000000" w:rsidRPr="002A00D2" w:rsidP="002A00D2">
      <w:pPr>
        <w:pStyle w:val="ListBullet"/>
      </w:pPr>
      <w:r w:rsidRPr="002A00D2">
        <w:t>automotive manufacturing workplace or simulated workplace</w:t>
      </w:r>
    </w:p>
    <w:p w:rsidR="00000000" w:rsidRPr="002A00D2" w:rsidP="002A00D2">
      <w:pPr>
        <w:pStyle w:val="ListBullet"/>
      </w:pPr>
      <w:r w:rsidRPr="002A00D2">
        <w:t>work orders, working drawings and specifications</w:t>
      </w:r>
    </w:p>
    <w:p w:rsidR="00000000" w:rsidRPr="002A00D2" w:rsidP="002A00D2">
      <w:pPr>
        <w:pStyle w:val="ListBullet"/>
      </w:pPr>
      <w:r w:rsidRPr="002A00D2">
        <w:t>tools, equipment and materials required in the drawing process</w:t>
      </w:r>
    </w:p>
    <w:p w:rsidR="00000000" w:rsidRPr="002A00D2" w:rsidP="002A00D2">
      <w:pPr>
        <w:pStyle w:val="ListBullet"/>
      </w:pPr>
      <w:r w:rsidRPr="002A00D2">
        <w:t xml:space="preserve">workplace procedures required to read and interpret work orders and working drawings </w:t>
      </w:r>
    </w:p>
    <w:p w:rsidR="00000000" w:rsidRPr="002A00D2" w:rsidP="002A00D2">
      <w:pPr>
        <w:pStyle w:val="ListBullet"/>
      </w:pPr>
      <w:r w:rsidRPr="002A00D2">
        <w:t>work instructions to read and interpret work orders and working drawings.</w:t>
      </w:r>
    </w:p>
    <w:p w:rsidR="00000000" w:rsidRPr="002A00D2" w:rsidP="002A00D2">
      <w:pPr>
        <w:pStyle w:val="AllowPageBreak"/>
      </w:pPr>
    </w:p>
    <w:p w:rsidR="00000000" w:rsidRPr="002A00D2" w:rsidP="002A00D2">
      <w:pPr>
        <w:pStyle w:val="Heading1"/>
      </w:pPr>
      <w:bookmarkStart w:id="5" w:name="O_575299"/>
      <w:bookmarkEnd w:id="5"/>
      <w:r w:rsidRPr="002A00D2">
        <w:t>Links</w:t>
      </w:r>
    </w:p>
    <w:p w:rsidR="00000000" w:rsidRPr="002A00D2" w:rsidP="002A00D2">
      <w:pPr>
        <w:pStyle w:val="BodyText"/>
      </w:pPr>
      <w:r w:rsidRPr="002A00D2">
        <w:t>Implementation Guide - http://www.asacompanionvolumes.com.au/aum-implementation-guide</w:t>
      </w:r>
    </w:p>
    <w:p w:rsidR="00000000" w:rsidRPr="002A00D2" w:rsidP="002A00D2">
      <w:pPr>
        <w:pStyle w:val="BodyText"/>
      </w:pPr>
      <w:r w:rsidRPr="002A00D2">
        <w:t>Assessment Strategies Guide - http://www.asacompanionvolumes.com.au/aum-assessment-guide</w:t>
      </w:r>
    </w:p>
    <w:p w:rsidR="00000000" w:rsidRPr="002A00D2" w:rsidP="002A00D2"/>
    <w:sectPr w:rsidSect="002A00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D2" w:rsidRPr="00E50166" w:rsidP="00E501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166" w:rsidP="002A00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0166" w:rsidP="002A00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E50166" w:rsidP="002A00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D2" w:rsidRPr="00E50166" w:rsidP="00E5016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166" w:rsidRPr="002D2AF8" w:rsidP="002A00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AUMGTA001 Read and interpret work orders and working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January 2014</w:t>
    </w:r>
    <w:r>
      <w:fldChar w:fldCharType="end"/>
    </w:r>
  </w:p>
  <w:p w:rsidR="00E50166" w:rsidP="002A00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B8BE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08D9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0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00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0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0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0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0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0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0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0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0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0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0D2"/>
  </w:style>
  <w:style w:type="character" w:customStyle="1" w:styleId="Heading1Char">
    <w:name w:val="Heading 1 Char"/>
    <w:basedOn w:val="DefaultParagraphFont"/>
    <w:link w:val="Heading1"/>
    <w:rsid w:val="002A00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0D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0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00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00D2"/>
    <w:rPr>
      <w:b/>
      <w:spacing w:val="0"/>
    </w:rPr>
  </w:style>
  <w:style w:type="paragraph" w:customStyle="1" w:styleId="SuperHeading">
    <w:name w:val="SuperHeading"/>
    <w:basedOn w:val="Normal"/>
    <w:rsid w:val="002A00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00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00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0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0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0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0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0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00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00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00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0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0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0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0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00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0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00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0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0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00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00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00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0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0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00D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00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0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00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0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00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0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0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0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0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00D2"/>
    <w:rPr>
      <w:i/>
    </w:rPr>
  </w:style>
  <w:style w:type="paragraph" w:styleId="Caption">
    <w:name w:val="caption"/>
    <w:basedOn w:val="BodyText"/>
    <w:next w:val="Normal"/>
    <w:qFormat/>
    <w:rsid w:val="002A00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0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0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0D2"/>
  </w:style>
  <w:style w:type="paragraph" w:styleId="TableofFigures">
    <w:name w:val="table of figures"/>
    <w:basedOn w:val="Normal"/>
    <w:next w:val="Normal"/>
    <w:semiHidden/>
    <w:rsid w:val="002A00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0D2"/>
    <w:pPr>
      <w:numPr>
        <w:numId w:val="10"/>
      </w:numPr>
    </w:pPr>
  </w:style>
  <w:style w:type="character" w:customStyle="1" w:styleId="WingdingSymbols">
    <w:name w:val="Wingding Symbols"/>
    <w:rsid w:val="002A00D2"/>
    <w:rPr>
      <w:rFonts w:ascii="Wingdings" w:hAnsi="Wingdings"/>
    </w:rPr>
  </w:style>
  <w:style w:type="paragraph" w:customStyle="1" w:styleId="TableHeading">
    <w:name w:val="Table Heading"/>
    <w:basedOn w:val="HeadingBase"/>
    <w:rsid w:val="002A00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00D2"/>
    <w:rPr>
      <w:color w:val="0033CC"/>
      <w:u w:val="none"/>
    </w:rPr>
  </w:style>
  <w:style w:type="paragraph" w:customStyle="1" w:styleId="BodyTextRight">
    <w:name w:val="Body Text Right"/>
    <w:basedOn w:val="BodyText"/>
    <w:rsid w:val="002A00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00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0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0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0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0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00D2"/>
    <w:rPr>
      <w:sz w:val="32"/>
    </w:rPr>
  </w:style>
  <w:style w:type="paragraph" w:customStyle="1" w:styleId="HeadingProcedure">
    <w:name w:val="Heading Procedure"/>
    <w:basedOn w:val="HeadingBase"/>
    <w:next w:val="Normal"/>
    <w:rsid w:val="002A00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0D2"/>
    <w:pPr>
      <w:spacing w:before="60" w:after="60"/>
    </w:pPr>
  </w:style>
  <w:style w:type="paragraph" w:styleId="ListContinue">
    <w:name w:val="List Continue"/>
    <w:basedOn w:val="List"/>
    <w:rsid w:val="002A00D2"/>
    <w:pPr>
      <w:ind w:firstLine="0"/>
    </w:pPr>
  </w:style>
  <w:style w:type="paragraph" w:customStyle="1" w:styleId="ListNote">
    <w:name w:val="List Note"/>
    <w:basedOn w:val="List"/>
    <w:rsid w:val="002A00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0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0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0D2"/>
    <w:rPr>
      <w:rFonts w:ascii="Courier New" w:hAnsi="Courier New"/>
    </w:rPr>
  </w:style>
  <w:style w:type="paragraph" w:customStyle="1" w:styleId="NoteBullet">
    <w:name w:val="Note Bullet"/>
    <w:basedOn w:val="Note"/>
    <w:rsid w:val="002A00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0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0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0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0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00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0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00D2"/>
    <w:rPr>
      <w:b/>
      <w:smallCaps/>
    </w:rPr>
  </w:style>
  <w:style w:type="paragraph" w:customStyle="1" w:styleId="TableListNumber">
    <w:name w:val="Table List Number"/>
    <w:basedOn w:val="ListNumber"/>
    <w:rsid w:val="002A00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0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0D2"/>
    <w:pPr>
      <w:numPr>
        <w:numId w:val="8"/>
      </w:numPr>
    </w:pPr>
  </w:style>
  <w:style w:type="paragraph" w:customStyle="1" w:styleId="ListAlpha2">
    <w:name w:val="List Alpha 2"/>
    <w:basedOn w:val="List2"/>
    <w:rsid w:val="002A00D2"/>
    <w:pPr>
      <w:numPr>
        <w:numId w:val="7"/>
      </w:numPr>
    </w:pPr>
  </w:style>
  <w:style w:type="paragraph" w:styleId="List2">
    <w:name w:val="List 2"/>
    <w:basedOn w:val="BodyText"/>
    <w:rsid w:val="002A00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00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0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0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00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00D2"/>
    <w:pPr>
      <w:numPr>
        <w:numId w:val="2"/>
      </w:numPr>
    </w:pPr>
  </w:style>
  <w:style w:type="paragraph" w:styleId="ListBullet5">
    <w:name w:val="List Bullet 5"/>
    <w:basedOn w:val="List5"/>
    <w:rsid w:val="002A00D2"/>
    <w:pPr>
      <w:numPr>
        <w:numId w:val="3"/>
      </w:numPr>
    </w:pPr>
  </w:style>
  <w:style w:type="paragraph" w:styleId="ListContinue2">
    <w:name w:val="List Continue 2"/>
    <w:basedOn w:val="List2"/>
    <w:rsid w:val="002A00D2"/>
    <w:pPr>
      <w:ind w:firstLine="0"/>
    </w:pPr>
  </w:style>
  <w:style w:type="paragraph" w:styleId="ListContinue3">
    <w:name w:val="List Continue 3"/>
    <w:basedOn w:val="List3"/>
    <w:rsid w:val="002A00D2"/>
    <w:pPr>
      <w:ind w:left="1021" w:firstLine="0"/>
    </w:pPr>
  </w:style>
  <w:style w:type="paragraph" w:styleId="ListContinue4">
    <w:name w:val="List Continue 4"/>
    <w:basedOn w:val="List4"/>
    <w:rsid w:val="002A00D2"/>
    <w:pPr>
      <w:ind w:firstLine="0"/>
    </w:pPr>
  </w:style>
  <w:style w:type="paragraph" w:styleId="ListContinue5">
    <w:name w:val="List Continue 5"/>
    <w:basedOn w:val="List5"/>
    <w:rsid w:val="002A00D2"/>
    <w:pPr>
      <w:ind w:firstLine="0"/>
    </w:pPr>
  </w:style>
  <w:style w:type="paragraph" w:styleId="ListNumber3">
    <w:name w:val="List Number 3"/>
    <w:basedOn w:val="List3"/>
    <w:rsid w:val="002A00D2"/>
    <w:pPr>
      <w:numPr>
        <w:numId w:val="4"/>
      </w:numPr>
    </w:pPr>
  </w:style>
  <w:style w:type="paragraph" w:styleId="ListNumber4">
    <w:name w:val="List Number 4"/>
    <w:basedOn w:val="List4"/>
    <w:rsid w:val="002A00D2"/>
    <w:pPr>
      <w:numPr>
        <w:numId w:val="5"/>
      </w:numPr>
    </w:pPr>
  </w:style>
  <w:style w:type="paragraph" w:styleId="ListNumber5">
    <w:name w:val="List Number 5"/>
    <w:basedOn w:val="List5"/>
    <w:rsid w:val="002A00D2"/>
    <w:pPr>
      <w:numPr>
        <w:numId w:val="6"/>
      </w:numPr>
    </w:pPr>
  </w:style>
  <w:style w:type="paragraph" w:styleId="BlockText">
    <w:name w:val="Block Text"/>
    <w:basedOn w:val="Normal"/>
    <w:rsid w:val="002A00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00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00D2"/>
    <w:rPr>
      <w:sz w:val="16"/>
      <w:vertAlign w:val="superscript"/>
    </w:rPr>
  </w:style>
  <w:style w:type="character" w:customStyle="1" w:styleId="Symbols">
    <w:name w:val="Symbols"/>
    <w:basedOn w:val="DefaultParagraphFont"/>
    <w:rsid w:val="002A00D2"/>
    <w:rPr>
      <w:rFonts w:ascii="Symbol" w:hAnsi="Symbol"/>
    </w:rPr>
  </w:style>
  <w:style w:type="character" w:customStyle="1" w:styleId="MenuOptions">
    <w:name w:val="Menu Options"/>
    <w:basedOn w:val="DefaultParagraphFont"/>
    <w:rsid w:val="002A00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0D2"/>
    <w:rPr>
      <w:b/>
    </w:rPr>
  </w:style>
  <w:style w:type="character" w:customStyle="1" w:styleId="Underlined">
    <w:name w:val="Underlined"/>
    <w:basedOn w:val="DefaultParagraphFont"/>
    <w:rsid w:val="002A00D2"/>
    <w:rPr>
      <w:u w:val="single"/>
    </w:rPr>
  </w:style>
  <w:style w:type="paragraph" w:customStyle="1" w:styleId="TableBodyTextRight">
    <w:name w:val="Table Body Text Right"/>
    <w:basedOn w:val="TableBodyText"/>
    <w:rsid w:val="002A00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0D2"/>
    <w:rPr>
      <w:sz w:val="18"/>
    </w:rPr>
  </w:style>
  <w:style w:type="paragraph" w:customStyle="1" w:styleId="BodySmallRight">
    <w:name w:val="Body Small Right"/>
    <w:basedOn w:val="BodyTextRight"/>
    <w:rsid w:val="002A00D2"/>
    <w:rPr>
      <w:sz w:val="18"/>
      <w:szCs w:val="18"/>
    </w:rPr>
  </w:style>
  <w:style w:type="paragraph" w:customStyle="1" w:styleId="MarginEdition">
    <w:name w:val="Margin Edition"/>
    <w:basedOn w:val="MarginNote"/>
    <w:rsid w:val="002A00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0D2"/>
    <w:rPr>
      <w:sz w:val="2"/>
      <w:szCs w:val="2"/>
    </w:rPr>
  </w:style>
  <w:style w:type="character" w:customStyle="1" w:styleId="Small">
    <w:name w:val="Small"/>
    <w:basedOn w:val="DefaultParagraphFont"/>
    <w:rsid w:val="002A00D2"/>
    <w:rPr>
      <w:sz w:val="16"/>
    </w:rPr>
  </w:style>
  <w:style w:type="paragraph" w:customStyle="1" w:styleId="WideTable">
    <w:name w:val="Wide Table"/>
    <w:basedOn w:val="Normal"/>
    <w:rsid w:val="002A00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0D2"/>
  </w:style>
  <w:style w:type="paragraph" w:styleId="Quote">
    <w:name w:val="Quote"/>
    <w:basedOn w:val="Heading1"/>
    <w:link w:val="QuoteChar"/>
    <w:qFormat/>
    <w:rsid w:val="002A00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0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0D2"/>
    <w:pPr>
      <w:pageBreakBefore/>
    </w:pPr>
  </w:style>
  <w:style w:type="paragraph" w:customStyle="1" w:styleId="Border">
    <w:name w:val="Border"/>
    <w:basedOn w:val="Normal"/>
    <w:qFormat/>
    <w:rsid w:val="002A00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0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0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0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00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0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0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0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0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0D2"/>
    <w:rPr>
      <w:u w:val="single"/>
    </w:rPr>
  </w:style>
  <w:style w:type="character" w:customStyle="1" w:styleId="BoldandItalics">
    <w:name w:val="Bold and Italics"/>
    <w:qFormat/>
    <w:rsid w:val="002A00D2"/>
    <w:rPr>
      <w:b/>
      <w:i/>
      <w:u w:val="none"/>
    </w:rPr>
  </w:style>
  <w:style w:type="paragraph" w:styleId="BalloonText">
    <w:name w:val="Balloon Text"/>
    <w:basedOn w:val="Normal"/>
    <w:link w:val="BalloonTextChar"/>
    <w:rsid w:val="002A00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0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00D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0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00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00D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1987</Characters>
  <Application>Microsoft Office Word</Application>
  <DocSecurity>0</DocSecurity>
  <Lines>53</Lines>
  <Paragraphs>34</Paragraphs>
  <ScaleCrop>false</ScaleCrop>
  <Company>Author-it Software Corporation Ltd.</Company>
  <LinksUpToDate>false</LinksUpToDate>
  <CharactersWithSpaces>2256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AUMGTA001 Read and interpret work orders and working drawings</dc:title>
  <dc:subject>Approved</dc:subject>
  <dc:creator>Auto Skills Australia</dc:creator>
  <cp:keywords>Release: 1</cp:keywords>
  <dc:description>Review Date: 12 April 2008</dc:description>
  <cp:lastModifiedBy>HSD_TPCMSd.prod</cp:lastModifiedBy>
  <cp:revision>3</cp:revision>
  <dcterms:created xsi:type="dcterms:W3CDTF">2014-01-09T22:44:00Z</dcterms:created>
  <dcterms:modified xsi:type="dcterms:W3CDTF">2014-01-09T22:44:00Z</dcterms:modified>
</cp:coreProperties>
</file>