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F1D" w:rsidP="00102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AUMGLM001 Apply heavy vehicle standards</w:t>
      </w:r>
      <w:r>
        <w:fldChar w:fldCharType="end"/>
      </w:r>
    </w:p>
    <w:p w:rsidR="00102F1D" w:rsidP="00102F1D">
      <w:pPr>
        <w:pStyle w:val="Version"/>
        <w:sectPr w:rsidSect="00EB1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0B4" w:rsidP="00EB10B4">
      <w:pPr>
        <w:pStyle w:val="SuperHeading"/>
      </w:pPr>
      <w:r w:rsidRPr="00EB10B4">
        <w:t>Assessment Requirements for AUMGLM001 Apply heavy vehicle standards</w:t>
      </w:r>
    </w:p>
    <w:p w:rsidR="00000000" w:rsidRPr="00EB10B4" w:rsidP="00EB10B4">
      <w:pPr>
        <w:pStyle w:val="Heading1"/>
      </w:pPr>
      <w:bookmarkStart w:id="1" w:name="O_575218"/>
      <w:bookmarkEnd w:id="1"/>
      <w:r w:rsidRPr="00EB10B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02F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B4" w:rsidP="00EB10B4">
            <w:pPr>
              <w:pStyle w:val="BodyText"/>
            </w:pPr>
            <w:r w:rsidRPr="00EB10B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B4">
            <w:pPr>
              <w:pStyle w:val="BodyText"/>
              <w:rPr>
                <w:lang w:val="en-NZ"/>
              </w:rPr>
            </w:pPr>
            <w:r w:rsidRPr="00EB10B4">
              <w:rPr>
                <w:rStyle w:val="SpecialBold"/>
              </w:rPr>
              <w:t>Comment</w:t>
            </w:r>
          </w:p>
        </w:tc>
      </w:tr>
      <w:tr w:rsidTr="00102F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B4">
            <w:pPr>
              <w:pStyle w:val="BodyText"/>
              <w:rPr>
                <w:lang w:val="en-NZ"/>
              </w:rPr>
            </w:pPr>
            <w:r w:rsidRPr="00EB10B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B4" w:rsidP="00EB10B4">
            <w:pPr>
              <w:pStyle w:val="BodyText"/>
            </w:pPr>
            <w:r w:rsidRPr="00EB10B4">
              <w:t>Unit updated to reflect the new standards for Training Packages</w:t>
            </w:r>
          </w:p>
          <w:p w:rsidR="00000000" w:rsidRPr="00EB10B4" w:rsidP="00EB10B4">
            <w:pPr>
              <w:pStyle w:val="BodyText"/>
            </w:pPr>
            <w:r w:rsidRPr="00EB10B4">
              <w:t>Replaces AUMGLM3001 Comply with heavy vehicle modification standards</w:t>
            </w:r>
          </w:p>
        </w:tc>
      </w:tr>
    </w:tbl>
    <w:p w:rsidR="00000000" w:rsidRPr="00EB10B4" w:rsidP="00EB10B4">
      <w:pPr>
        <w:pStyle w:val="BodyText"/>
      </w:pPr>
    </w:p>
    <w:p w:rsidR="00000000" w:rsidRPr="00EB10B4" w:rsidP="00EB10B4">
      <w:pPr>
        <w:pStyle w:val="AllowPageBreak"/>
      </w:pPr>
    </w:p>
    <w:p w:rsidR="00000000" w:rsidRPr="00EB10B4" w:rsidP="00EB10B4">
      <w:pPr>
        <w:pStyle w:val="Heading1"/>
      </w:pPr>
      <w:bookmarkStart w:id="2" w:name="O_575219"/>
      <w:bookmarkEnd w:id="2"/>
      <w:r w:rsidRPr="00EB10B4">
        <w:t>Performance Evidence</w:t>
      </w:r>
    </w:p>
    <w:p w:rsidR="00000000" w:rsidRPr="00EB10B4" w:rsidP="00EB10B4">
      <w:pPr>
        <w:pStyle w:val="BodyText"/>
      </w:pPr>
      <w:r w:rsidRPr="00EB10B4">
        <w:t>Before competency can be determined, individuals must have competently confirmed the compliance of heavy vehicles with Australian Design Rules (ADR</w:t>
      </w:r>
      <w:r w:rsidRPr="00EB10B4">
        <w:t xml:space="preserve">) and Vehicle Standards Bulletin 6 (VSB6) National Code of Practice </w:t>
      </w:r>
      <w:r w:rsidRPr="00EB10B4">
        <w:rPr>
          <w:rStyle w:val="Symbols"/>
        </w:rPr>
        <w:t></w:t>
      </w:r>
      <w:r w:rsidRPr="00EB10B4">
        <w:t xml:space="preserve"> Heavy Vehicle Modifications on a minimum of two occasions.</w:t>
      </w:r>
    </w:p>
    <w:p w:rsidR="00000000" w:rsidRPr="00EB10B4" w:rsidP="00EB10B4">
      <w:pPr>
        <w:pStyle w:val="BodyText"/>
      </w:pPr>
      <w:r w:rsidRPr="00EB10B4">
        <w:t>Individuals must demonstrate they can:</w:t>
      </w:r>
    </w:p>
    <w:p w:rsidR="00000000" w:rsidRPr="00EB10B4" w:rsidP="00EB10B4">
      <w:pPr>
        <w:pStyle w:val="ListBullet"/>
      </w:pPr>
      <w:r w:rsidRPr="00EB10B4">
        <w:t>identify and apply VSB6 standards</w:t>
      </w:r>
    </w:p>
    <w:p w:rsidR="00000000" w:rsidRPr="00EB10B4" w:rsidP="00EB10B4">
      <w:pPr>
        <w:pStyle w:val="ListBullet"/>
      </w:pPr>
      <w:r w:rsidRPr="00EB10B4">
        <w:t>check working drawings against standards’</w:t>
      </w:r>
      <w:r w:rsidRPr="00EB10B4">
        <w:t xml:space="preserve"> specifications</w:t>
      </w:r>
    </w:p>
    <w:p w:rsidR="00000000" w:rsidRPr="00EB10B4" w:rsidP="00EB10B4">
      <w:pPr>
        <w:pStyle w:val="ListBullet"/>
      </w:pPr>
      <w:r w:rsidRPr="00EB10B4">
        <w:t>follow original equipment manufacturer (OEM) requirements</w:t>
      </w:r>
    </w:p>
    <w:p w:rsidR="00000000" w:rsidRPr="00EB10B4" w:rsidP="00EB10B4">
      <w:pPr>
        <w:pStyle w:val="ListBullet"/>
      </w:pPr>
      <w:r w:rsidRPr="00EB10B4">
        <w:t>follow workplace procedures relating to applying heavy vehicle standards</w:t>
      </w:r>
    </w:p>
    <w:p w:rsidR="00000000" w:rsidRPr="00EB10B4" w:rsidP="00EB10B4">
      <w:pPr>
        <w:pStyle w:val="ListBullet"/>
      </w:pPr>
      <w:r w:rsidRPr="00EB10B4">
        <w:t xml:space="preserve">comply with work health and safety (WHS) requirements when checking heavy vehicles for compliance </w:t>
      </w:r>
    </w:p>
    <w:p w:rsidR="00000000" w:rsidRPr="00EB10B4" w:rsidP="00EB10B4">
      <w:pPr>
        <w:pStyle w:val="ListBullet"/>
      </w:pPr>
      <w:r w:rsidRPr="00EB10B4">
        <w:t>complete w</w:t>
      </w:r>
      <w:r w:rsidRPr="00EB10B4">
        <w:t>orkplace documentation and report non-conformances.</w:t>
      </w:r>
    </w:p>
    <w:p w:rsidR="00000000" w:rsidRPr="00EB10B4" w:rsidP="00EB10B4">
      <w:pPr>
        <w:pStyle w:val="AllowPageBreak"/>
      </w:pPr>
    </w:p>
    <w:p w:rsidR="00000000" w:rsidRPr="00EB10B4" w:rsidP="00EB10B4">
      <w:pPr>
        <w:pStyle w:val="Heading1"/>
      </w:pPr>
      <w:bookmarkStart w:id="3" w:name="O_575220"/>
      <w:bookmarkEnd w:id="3"/>
      <w:r w:rsidRPr="00EB10B4">
        <w:t>Knowledge Evidence</w:t>
      </w:r>
    </w:p>
    <w:p w:rsidR="00000000" w:rsidRPr="00EB10B4" w:rsidP="00EB10B4">
      <w:pPr>
        <w:pStyle w:val="BodyText"/>
      </w:pPr>
      <w:r w:rsidRPr="00EB10B4">
        <w:t>Individuals must be able to demonstrate knowledge of:</w:t>
      </w:r>
    </w:p>
    <w:p w:rsidR="00000000" w:rsidRPr="00EB10B4" w:rsidP="00EB10B4">
      <w:pPr>
        <w:pStyle w:val="ListBullet"/>
      </w:pPr>
      <w:r w:rsidRPr="00EB10B4">
        <w:t>workplace procedures for applying heavy vehicle standards, including:</w:t>
      </w:r>
    </w:p>
    <w:p w:rsidR="00000000" w:rsidRPr="00EB10B4" w:rsidP="00EB10B4">
      <w:pPr>
        <w:pStyle w:val="ListBullet2"/>
      </w:pPr>
      <w:r w:rsidRPr="00EB10B4">
        <w:t>WHS procedures</w:t>
      </w:r>
    </w:p>
    <w:p w:rsidR="00000000" w:rsidRPr="00EB10B4" w:rsidP="00EB10B4">
      <w:pPr>
        <w:pStyle w:val="ListBullet2"/>
      </w:pPr>
      <w:r w:rsidRPr="00EB10B4">
        <w:t>procedures for recording an</w:t>
      </w:r>
      <w:r w:rsidRPr="00EB10B4">
        <w:t>d reporting non-compliance of standards</w:t>
      </w:r>
    </w:p>
    <w:p w:rsidR="00000000" w:rsidRPr="00EB10B4" w:rsidP="00EB10B4">
      <w:pPr>
        <w:pStyle w:val="ListBullet"/>
      </w:pPr>
      <w:r w:rsidRPr="00EB10B4">
        <w:t>OEM requirements</w:t>
      </w:r>
    </w:p>
    <w:p w:rsidR="00000000" w:rsidRPr="00EB10B4" w:rsidP="00EB10B4">
      <w:pPr>
        <w:pStyle w:val="ListBullet"/>
      </w:pPr>
      <w:r w:rsidRPr="00EB10B4">
        <w:t>VSB6 National Code of Practice</w:t>
      </w:r>
    </w:p>
    <w:p w:rsidR="00000000" w:rsidRPr="00EB10B4" w:rsidP="00EB10B4">
      <w:pPr>
        <w:pStyle w:val="ListBullet"/>
      </w:pPr>
      <w:r w:rsidRPr="00EB10B4">
        <w:t>ADR relevant to VSB6</w:t>
      </w:r>
    </w:p>
    <w:p w:rsidR="00000000" w:rsidRPr="00EB10B4" w:rsidP="00EB10B4">
      <w:pPr>
        <w:pStyle w:val="ListBullet"/>
      </w:pPr>
      <w:r w:rsidRPr="00EB10B4">
        <w:t>Heavy Vehicle National Law (HVNL) regulations</w:t>
      </w:r>
    </w:p>
    <w:p w:rsidR="00000000" w:rsidRPr="00EB10B4" w:rsidP="00EB10B4">
      <w:pPr>
        <w:pStyle w:val="ListBullet"/>
      </w:pPr>
      <w:r w:rsidRPr="00EB10B4">
        <w:t>methods of determining compliance of working drawings against standards.</w:t>
      </w:r>
    </w:p>
    <w:p w:rsidR="00000000" w:rsidRPr="00EB10B4" w:rsidP="00EB10B4">
      <w:pPr>
        <w:pStyle w:val="AllowPageBreak"/>
      </w:pPr>
    </w:p>
    <w:p w:rsidR="00000000" w:rsidRPr="00EB10B4" w:rsidP="00EB10B4">
      <w:pPr>
        <w:pStyle w:val="Heading1"/>
      </w:pPr>
      <w:bookmarkStart w:id="4" w:name="O_575221"/>
      <w:bookmarkEnd w:id="4"/>
      <w:r w:rsidRPr="00EB10B4">
        <w:t>Assessment Conditions</w:t>
      </w:r>
    </w:p>
    <w:p w:rsidR="00000000" w:rsidRPr="00EB10B4" w:rsidP="00EB10B4">
      <w:pPr>
        <w:pStyle w:val="BodyText"/>
      </w:pPr>
      <w:r w:rsidRPr="00EB10B4">
        <w:t>Assessors must satisfy SNR/AQTF assessor requirements.</w:t>
      </w:r>
    </w:p>
    <w:p w:rsidR="00000000" w:rsidRPr="00EB10B4" w:rsidP="00EB10B4">
      <w:pPr>
        <w:pStyle w:val="BodyText"/>
      </w:pPr>
      <w:r w:rsidRPr="00EB10B4">
        <w:t>Competency is to be assessed in the workplace or a simulated environment that accurately reflects performance in a real workplace setting.</w:t>
      </w:r>
    </w:p>
    <w:p w:rsidR="00000000" w:rsidRPr="00EB10B4" w:rsidP="00EB10B4">
      <w:pPr>
        <w:pStyle w:val="BodyText"/>
      </w:pPr>
      <w:r w:rsidRPr="00EB10B4">
        <w:t xml:space="preserve">Where assessment of competency includes </w:t>
      </w:r>
      <w:r w:rsidRPr="00EB10B4">
        <w:t>third-party evidence, individuals must provide evidence that links them to the vehicles on which they have worked, e.g. repair orders.</w:t>
      </w:r>
    </w:p>
    <w:p w:rsidR="00000000" w:rsidRPr="00EB10B4" w:rsidP="00EB10B4">
      <w:pPr>
        <w:pStyle w:val="BodyText"/>
      </w:pPr>
      <w:r w:rsidRPr="00EB10B4">
        <w:t>Assessors must verify performance evidence through questioning on skills and knowledge to ensure correct interpretation a</w:t>
      </w:r>
      <w:r w:rsidRPr="00EB10B4">
        <w:t>nd application.</w:t>
      </w:r>
    </w:p>
    <w:p w:rsidR="00000000" w:rsidRPr="00EB10B4" w:rsidP="00EB10B4">
      <w:pPr>
        <w:pStyle w:val="BodyText"/>
      </w:pPr>
      <w:r w:rsidRPr="00EB10B4">
        <w:t>The following resources must be made available:</w:t>
      </w:r>
    </w:p>
    <w:p w:rsidR="00000000" w:rsidRPr="00EB10B4" w:rsidP="00EB10B4">
      <w:pPr>
        <w:pStyle w:val="ListBullet"/>
      </w:pPr>
      <w:r w:rsidRPr="00EB10B4">
        <w:t>automotive manufacturing workplace or simulated workplace</w:t>
      </w:r>
    </w:p>
    <w:p w:rsidR="00000000" w:rsidRPr="00EB10B4" w:rsidP="00EB10B4">
      <w:pPr>
        <w:pStyle w:val="ListBullet"/>
      </w:pPr>
      <w:r w:rsidRPr="00EB10B4">
        <w:t>two different heavy vehicles</w:t>
      </w:r>
    </w:p>
    <w:p w:rsidR="00000000" w:rsidRPr="00EB10B4" w:rsidP="00EB10B4">
      <w:pPr>
        <w:pStyle w:val="ListBullet"/>
      </w:pPr>
      <w:r w:rsidRPr="00EB10B4">
        <w:t>heavy vehicle engineering and working drawings</w:t>
      </w:r>
    </w:p>
    <w:p w:rsidR="00000000" w:rsidRPr="00EB10B4" w:rsidP="00EB10B4">
      <w:pPr>
        <w:pStyle w:val="ListBullet"/>
      </w:pPr>
      <w:r w:rsidRPr="00EB10B4">
        <w:t>VSB6 National Code of Practice</w:t>
      </w:r>
    </w:p>
    <w:p w:rsidR="00000000" w:rsidRPr="00EB10B4" w:rsidP="00EB10B4">
      <w:pPr>
        <w:pStyle w:val="ListBullet"/>
      </w:pPr>
      <w:r w:rsidRPr="00EB10B4">
        <w:t>ADR relevant to VSB6</w:t>
      </w:r>
    </w:p>
    <w:p w:rsidR="00000000" w:rsidRPr="00EB10B4" w:rsidP="00EB10B4">
      <w:pPr>
        <w:pStyle w:val="ListBullet"/>
      </w:pPr>
      <w:r w:rsidRPr="00EB10B4">
        <w:t xml:space="preserve">HVNL </w:t>
      </w:r>
      <w:r w:rsidRPr="00EB10B4">
        <w:t>regulations</w:t>
      </w:r>
    </w:p>
    <w:p w:rsidR="00000000" w:rsidRPr="00EB10B4" w:rsidP="00EB10B4">
      <w:pPr>
        <w:pStyle w:val="ListBullet"/>
      </w:pPr>
      <w:r w:rsidRPr="00EB10B4">
        <w:t>OEM manuals and guides</w:t>
      </w:r>
    </w:p>
    <w:p w:rsidR="00000000" w:rsidRPr="00EB10B4" w:rsidP="00EB10B4">
      <w:pPr>
        <w:pStyle w:val="ListBullet"/>
      </w:pPr>
      <w:r w:rsidRPr="00EB10B4">
        <w:t xml:space="preserve">tools and equipment for checking heavy vehicles against standards </w:t>
      </w:r>
    </w:p>
    <w:p w:rsidR="00000000" w:rsidRPr="00EB10B4" w:rsidP="00EB10B4">
      <w:pPr>
        <w:pStyle w:val="ListBullet"/>
      </w:pPr>
      <w:r w:rsidRPr="00EB10B4">
        <w:t>workplace documentation relevant to applying heavy vehicle standards to heavy vehicles and recording results.</w:t>
      </w:r>
    </w:p>
    <w:p w:rsidR="00000000" w:rsidRPr="00EB10B4" w:rsidP="00EB10B4">
      <w:pPr>
        <w:pStyle w:val="AllowPageBreak"/>
      </w:pPr>
    </w:p>
    <w:p w:rsidR="00000000" w:rsidRPr="00EB10B4" w:rsidP="00EB10B4">
      <w:pPr>
        <w:pStyle w:val="Heading1"/>
      </w:pPr>
      <w:bookmarkStart w:id="5" w:name="O_575223"/>
      <w:bookmarkEnd w:id="5"/>
      <w:r w:rsidRPr="00EB10B4">
        <w:t>Links</w:t>
      </w:r>
    </w:p>
    <w:p w:rsidR="00000000" w:rsidRPr="00EB10B4" w:rsidP="00EB10B4">
      <w:pPr>
        <w:pStyle w:val="BodyText"/>
      </w:pPr>
      <w:r w:rsidRPr="00EB10B4">
        <w:t>Implementation Guide - http://www.asacompanionvolumes.com.au/aum-implementation-guide</w:t>
      </w:r>
    </w:p>
    <w:p w:rsidR="00000000" w:rsidRPr="00EB10B4" w:rsidP="00EB10B4">
      <w:pPr>
        <w:pStyle w:val="BodyText"/>
      </w:pPr>
      <w:r w:rsidRPr="00EB10B4">
        <w:t>Assessment Strategies Guide - http://www.asacompanionvolumes.com.au/aum-assessment-guide</w:t>
      </w:r>
    </w:p>
    <w:p w:rsidR="00000000" w:rsidRPr="00EB10B4" w:rsidP="00EB10B4"/>
    <w:sectPr w:rsidSect="00EB10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B4" w:rsidRPr="00102F1D" w:rsidP="00102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1D" w:rsidP="00EB1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2F1D" w:rsidP="00EB1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102F1D" w:rsidP="00EB1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B4" w:rsidRPr="00102F1D" w:rsidP="00102F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1D" w:rsidRPr="002D2AF8" w:rsidP="00EB1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AUMGLM001 Apply heavy vehicle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January 2014</w:t>
    </w:r>
    <w:r>
      <w:fldChar w:fldCharType="end"/>
    </w:r>
  </w:p>
  <w:p w:rsidR="00102F1D" w:rsidP="00EB1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48A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E8A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D04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0B4"/>
  </w:style>
  <w:style w:type="character" w:customStyle="1" w:styleId="Heading1Char">
    <w:name w:val="Heading 1 Char"/>
    <w:basedOn w:val="DefaultParagraphFont"/>
    <w:link w:val="Heading1"/>
    <w:rsid w:val="00EB1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0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0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0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0B4"/>
    <w:rPr>
      <w:b/>
      <w:spacing w:val="0"/>
    </w:rPr>
  </w:style>
  <w:style w:type="paragraph" w:styleId="ListBullet2">
    <w:name w:val="List Bullet 2"/>
    <w:basedOn w:val="List2"/>
    <w:rsid w:val="00EB10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1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EB10B4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EB1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0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0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1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0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0B4"/>
    <w:rPr>
      <w:i/>
    </w:rPr>
  </w:style>
  <w:style w:type="paragraph" w:styleId="Caption">
    <w:name w:val="caption"/>
    <w:basedOn w:val="BodyText"/>
    <w:next w:val="Normal"/>
    <w:qFormat/>
    <w:rsid w:val="00EB1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0B4"/>
  </w:style>
  <w:style w:type="paragraph" w:styleId="TableofFigures">
    <w:name w:val="table of figures"/>
    <w:basedOn w:val="Normal"/>
    <w:next w:val="Normal"/>
    <w:semiHidden/>
    <w:rsid w:val="00EB1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0B4"/>
    <w:pPr>
      <w:numPr>
        <w:numId w:val="11"/>
      </w:numPr>
    </w:pPr>
  </w:style>
  <w:style w:type="character" w:customStyle="1" w:styleId="WingdingSymbols">
    <w:name w:val="Wingding Symbols"/>
    <w:rsid w:val="00EB10B4"/>
    <w:rPr>
      <w:rFonts w:ascii="Wingdings" w:hAnsi="Wingdings"/>
    </w:rPr>
  </w:style>
  <w:style w:type="paragraph" w:customStyle="1" w:styleId="TableHeading">
    <w:name w:val="Table Heading"/>
    <w:basedOn w:val="HeadingBase"/>
    <w:rsid w:val="00EB1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0B4"/>
    <w:rPr>
      <w:color w:val="0033CC"/>
      <w:u w:val="none"/>
    </w:rPr>
  </w:style>
  <w:style w:type="paragraph" w:customStyle="1" w:styleId="BodyTextRight">
    <w:name w:val="Body Text Right"/>
    <w:basedOn w:val="BodyText"/>
    <w:rsid w:val="00EB1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0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0B4"/>
    <w:rPr>
      <w:sz w:val="32"/>
    </w:rPr>
  </w:style>
  <w:style w:type="paragraph" w:customStyle="1" w:styleId="HeadingProcedure">
    <w:name w:val="Heading Procedure"/>
    <w:basedOn w:val="HeadingBase"/>
    <w:next w:val="Normal"/>
    <w:rsid w:val="00EB1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0B4"/>
    <w:pPr>
      <w:spacing w:before="60" w:after="60"/>
    </w:pPr>
  </w:style>
  <w:style w:type="paragraph" w:styleId="ListContinue">
    <w:name w:val="List Continue"/>
    <w:basedOn w:val="List"/>
    <w:rsid w:val="00EB10B4"/>
    <w:pPr>
      <w:ind w:firstLine="0"/>
    </w:pPr>
  </w:style>
  <w:style w:type="paragraph" w:customStyle="1" w:styleId="ListNote">
    <w:name w:val="List Note"/>
    <w:basedOn w:val="List"/>
    <w:rsid w:val="00EB1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0B4"/>
    <w:rPr>
      <w:rFonts w:ascii="Courier New" w:hAnsi="Courier New"/>
    </w:rPr>
  </w:style>
  <w:style w:type="paragraph" w:customStyle="1" w:styleId="NoteBullet">
    <w:name w:val="Note Bullet"/>
    <w:basedOn w:val="Note"/>
    <w:rsid w:val="00EB1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0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1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0B4"/>
    <w:rPr>
      <w:b/>
      <w:smallCaps/>
    </w:rPr>
  </w:style>
  <w:style w:type="paragraph" w:customStyle="1" w:styleId="TableListNumber">
    <w:name w:val="Table List Number"/>
    <w:basedOn w:val="ListNumber"/>
    <w:rsid w:val="00EB1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0B4"/>
    <w:pPr>
      <w:numPr>
        <w:numId w:val="9"/>
      </w:numPr>
    </w:pPr>
  </w:style>
  <w:style w:type="paragraph" w:customStyle="1" w:styleId="ListAlpha2">
    <w:name w:val="List Alpha 2"/>
    <w:basedOn w:val="List2"/>
    <w:rsid w:val="00EB10B4"/>
    <w:pPr>
      <w:numPr>
        <w:numId w:val="8"/>
      </w:numPr>
    </w:pPr>
  </w:style>
  <w:style w:type="paragraph" w:styleId="List2">
    <w:name w:val="List 2"/>
    <w:basedOn w:val="BodyText"/>
    <w:rsid w:val="00EB1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0B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0B4"/>
    <w:pPr>
      <w:numPr>
        <w:numId w:val="3"/>
      </w:numPr>
    </w:pPr>
  </w:style>
  <w:style w:type="paragraph" w:styleId="ListBullet5">
    <w:name w:val="List Bullet 5"/>
    <w:basedOn w:val="List5"/>
    <w:rsid w:val="00EB10B4"/>
    <w:pPr>
      <w:numPr>
        <w:numId w:val="4"/>
      </w:numPr>
    </w:pPr>
  </w:style>
  <w:style w:type="paragraph" w:styleId="ListContinue2">
    <w:name w:val="List Continue 2"/>
    <w:basedOn w:val="List2"/>
    <w:rsid w:val="00EB10B4"/>
    <w:pPr>
      <w:ind w:firstLine="0"/>
    </w:pPr>
  </w:style>
  <w:style w:type="paragraph" w:styleId="ListContinue3">
    <w:name w:val="List Continue 3"/>
    <w:basedOn w:val="List3"/>
    <w:rsid w:val="00EB10B4"/>
    <w:pPr>
      <w:ind w:left="1021" w:firstLine="0"/>
    </w:pPr>
  </w:style>
  <w:style w:type="paragraph" w:styleId="ListContinue4">
    <w:name w:val="List Continue 4"/>
    <w:basedOn w:val="List4"/>
    <w:rsid w:val="00EB10B4"/>
    <w:pPr>
      <w:ind w:firstLine="0"/>
    </w:pPr>
  </w:style>
  <w:style w:type="paragraph" w:styleId="ListContinue5">
    <w:name w:val="List Continue 5"/>
    <w:basedOn w:val="List5"/>
    <w:rsid w:val="00EB10B4"/>
    <w:pPr>
      <w:ind w:firstLine="0"/>
    </w:pPr>
  </w:style>
  <w:style w:type="paragraph" w:styleId="ListNumber3">
    <w:name w:val="List Number 3"/>
    <w:basedOn w:val="List3"/>
    <w:rsid w:val="00EB10B4"/>
    <w:pPr>
      <w:numPr>
        <w:numId w:val="5"/>
      </w:numPr>
    </w:pPr>
  </w:style>
  <w:style w:type="paragraph" w:styleId="ListNumber4">
    <w:name w:val="List Number 4"/>
    <w:basedOn w:val="List4"/>
    <w:rsid w:val="00EB10B4"/>
    <w:pPr>
      <w:numPr>
        <w:numId w:val="6"/>
      </w:numPr>
    </w:pPr>
  </w:style>
  <w:style w:type="paragraph" w:styleId="ListNumber5">
    <w:name w:val="List Number 5"/>
    <w:basedOn w:val="List5"/>
    <w:rsid w:val="00EB10B4"/>
    <w:pPr>
      <w:numPr>
        <w:numId w:val="7"/>
      </w:numPr>
    </w:pPr>
  </w:style>
  <w:style w:type="paragraph" w:styleId="BlockText">
    <w:name w:val="Block Text"/>
    <w:basedOn w:val="Normal"/>
    <w:rsid w:val="00EB1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0B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EB1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0B4"/>
    <w:rPr>
      <w:b/>
    </w:rPr>
  </w:style>
  <w:style w:type="character" w:customStyle="1" w:styleId="Underlined">
    <w:name w:val="Underlined"/>
    <w:basedOn w:val="DefaultParagraphFont"/>
    <w:rsid w:val="00EB10B4"/>
    <w:rPr>
      <w:u w:val="single"/>
    </w:rPr>
  </w:style>
  <w:style w:type="paragraph" w:customStyle="1" w:styleId="TableBodyTextRight">
    <w:name w:val="Table Body Text Right"/>
    <w:basedOn w:val="TableBodyText"/>
    <w:rsid w:val="00EB1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0B4"/>
    <w:rPr>
      <w:sz w:val="18"/>
    </w:rPr>
  </w:style>
  <w:style w:type="paragraph" w:customStyle="1" w:styleId="BodySmallRight">
    <w:name w:val="Body Small Right"/>
    <w:basedOn w:val="BodyTextRight"/>
    <w:rsid w:val="00EB10B4"/>
    <w:rPr>
      <w:sz w:val="18"/>
      <w:szCs w:val="18"/>
    </w:rPr>
  </w:style>
  <w:style w:type="paragraph" w:customStyle="1" w:styleId="MarginEdition">
    <w:name w:val="Margin Edition"/>
    <w:basedOn w:val="MarginNote"/>
    <w:rsid w:val="00EB1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0B4"/>
    <w:rPr>
      <w:sz w:val="2"/>
      <w:szCs w:val="2"/>
    </w:rPr>
  </w:style>
  <w:style w:type="character" w:customStyle="1" w:styleId="Small">
    <w:name w:val="Small"/>
    <w:basedOn w:val="DefaultParagraphFont"/>
    <w:rsid w:val="00EB10B4"/>
    <w:rPr>
      <w:sz w:val="16"/>
    </w:rPr>
  </w:style>
  <w:style w:type="paragraph" w:customStyle="1" w:styleId="WideTable">
    <w:name w:val="Wide Table"/>
    <w:basedOn w:val="Normal"/>
    <w:rsid w:val="00EB1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0B4"/>
  </w:style>
  <w:style w:type="paragraph" w:styleId="Quote">
    <w:name w:val="Quote"/>
    <w:basedOn w:val="Heading1"/>
    <w:link w:val="QuoteChar"/>
    <w:qFormat/>
    <w:rsid w:val="00EB1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0B4"/>
    <w:pPr>
      <w:pageBreakBefore/>
    </w:pPr>
  </w:style>
  <w:style w:type="paragraph" w:customStyle="1" w:styleId="Border">
    <w:name w:val="Border"/>
    <w:basedOn w:val="Normal"/>
    <w:qFormat/>
    <w:rsid w:val="00EB1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0B4"/>
    <w:rPr>
      <w:u w:val="single"/>
    </w:rPr>
  </w:style>
  <w:style w:type="character" w:customStyle="1" w:styleId="BoldandItalics">
    <w:name w:val="Bold and Italics"/>
    <w:qFormat/>
    <w:rsid w:val="00EB10B4"/>
    <w:rPr>
      <w:b/>
      <w:i/>
      <w:u w:val="none"/>
    </w:rPr>
  </w:style>
  <w:style w:type="paragraph" w:styleId="BalloonText">
    <w:name w:val="Balloon Text"/>
    <w:basedOn w:val="Normal"/>
    <w:link w:val="BalloonTextChar"/>
    <w:rsid w:val="00EB1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0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0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331</Words>
  <Characters>2309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AUMGLM001 Apply heavy vehicle standards</dc:title>
  <dc:subject>Approved</dc:subject>
  <dc:creator>Auto Skills Australia</dc:creator>
  <cp:keywords>Release: 1</cp:keywords>
  <dc:description>Review Date: 12 April 2008</dc:description>
  <cp:lastModifiedBy>TPCMS</cp:lastModifiedBy>
  <cp:revision>3</cp:revision>
  <dcterms:created xsi:type="dcterms:W3CDTF">2014-01-09T22:44:00Z</dcterms:created>
  <dcterms:modified xsi:type="dcterms:W3CDTF">2014-01-09T22:45:00Z</dcterms:modified>
</cp:coreProperties>
</file>