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41B7" w:rsidP="004B41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AUMFTA002 Perform die coating</w:t>
      </w:r>
      <w:r>
        <w:fldChar w:fldCharType="end"/>
      </w:r>
    </w:p>
    <w:p w:rsidR="004B41B7" w:rsidP="004B41B7">
      <w:pPr>
        <w:pStyle w:val="Version"/>
        <w:sectPr w:rsidSect="00EA0F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0F6C" w:rsidP="00EA0F6C">
      <w:pPr>
        <w:pStyle w:val="SuperHeading"/>
      </w:pPr>
      <w:r w:rsidRPr="00EA0F6C">
        <w:t>Assessment Requirements for AUMFTA002 Perform die coating</w:t>
      </w:r>
    </w:p>
    <w:p w:rsidR="00000000" w:rsidRPr="00EA0F6C" w:rsidP="00EA0F6C">
      <w:pPr>
        <w:pStyle w:val="Heading1"/>
      </w:pPr>
      <w:bookmarkStart w:id="1" w:name="O_574971"/>
      <w:bookmarkEnd w:id="1"/>
      <w:r w:rsidRPr="00EA0F6C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4B41B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F6C" w:rsidP="00EA0F6C">
            <w:pPr>
              <w:pStyle w:val="BodyText"/>
            </w:pPr>
            <w:r w:rsidRPr="00EA0F6C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F6C">
            <w:pPr>
              <w:pStyle w:val="BodyText"/>
              <w:rPr>
                <w:lang w:val="en-NZ"/>
              </w:rPr>
            </w:pPr>
            <w:r w:rsidRPr="00EA0F6C">
              <w:rPr>
                <w:rStyle w:val="SpecialBold"/>
              </w:rPr>
              <w:t>Comment</w:t>
            </w:r>
          </w:p>
        </w:tc>
      </w:tr>
      <w:tr w:rsidTr="004B41B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F6C">
            <w:pPr>
              <w:pStyle w:val="BodyText"/>
              <w:rPr>
                <w:lang w:val="en-NZ"/>
              </w:rPr>
            </w:pPr>
            <w:r w:rsidRPr="00EA0F6C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F6C" w:rsidP="00EA0F6C">
            <w:pPr>
              <w:pStyle w:val="BodyText"/>
            </w:pPr>
            <w:r w:rsidRPr="00EA0F6C">
              <w:t>Unit updated to reflect the new standards for Training Packages</w:t>
            </w:r>
          </w:p>
          <w:p w:rsidR="00000000" w:rsidRPr="00EA0F6C" w:rsidP="00EA0F6C">
            <w:pPr>
              <w:pStyle w:val="BodyText"/>
            </w:pPr>
            <w:r w:rsidRPr="00EA0F6C">
              <w:t>Replaces AUMFTA3002 Conduct die coating</w:t>
            </w:r>
          </w:p>
        </w:tc>
      </w:tr>
    </w:tbl>
    <w:p w:rsidR="00000000" w:rsidRPr="00EA0F6C" w:rsidP="00EA0F6C">
      <w:pPr>
        <w:pStyle w:val="BodyText"/>
      </w:pPr>
    </w:p>
    <w:p w:rsidR="00000000" w:rsidRPr="00EA0F6C" w:rsidP="00EA0F6C">
      <w:pPr>
        <w:pStyle w:val="AllowPageBreak"/>
      </w:pPr>
    </w:p>
    <w:p w:rsidR="00000000" w:rsidRPr="00EA0F6C" w:rsidP="00EA0F6C">
      <w:pPr>
        <w:pStyle w:val="Heading1"/>
      </w:pPr>
      <w:bookmarkStart w:id="2" w:name="O_574972"/>
      <w:bookmarkEnd w:id="2"/>
      <w:r w:rsidRPr="00EA0F6C">
        <w:t>Performance Evidence</w:t>
      </w:r>
    </w:p>
    <w:p w:rsidR="00000000" w:rsidRPr="00EA0F6C" w:rsidP="004B41B7">
      <w:pPr>
        <w:pStyle w:val="BodyText"/>
      </w:pPr>
      <w:r w:rsidRPr="00EA0F6C">
        <w:t>Before competency can be determined, individuals</w:t>
      </w:r>
      <w:r w:rsidRPr="00EA0F6C">
        <w:t xml:space="preserve"> must have competently coated dies on a minimum of five occasions.</w:t>
      </w:r>
    </w:p>
    <w:p w:rsidR="00000000" w:rsidRPr="00EA0F6C" w:rsidP="004B41B7">
      <w:pPr>
        <w:pStyle w:val="BodyText"/>
      </w:pPr>
      <w:r w:rsidRPr="00EA0F6C">
        <w:t>Individuals must demonstrate they can:</w:t>
      </w:r>
    </w:p>
    <w:p w:rsidR="00000000" w:rsidRPr="00EA0F6C" w:rsidP="00EA0F6C">
      <w:pPr>
        <w:pStyle w:val="ListBullet"/>
      </w:pPr>
      <w:r w:rsidRPr="00EA0F6C">
        <w:t>interpret workplace quality requirements</w:t>
      </w:r>
    </w:p>
    <w:p w:rsidR="00000000" w:rsidRPr="00EA0F6C" w:rsidP="00EA0F6C">
      <w:pPr>
        <w:pStyle w:val="ListBullet"/>
      </w:pPr>
      <w:r w:rsidRPr="00EA0F6C">
        <w:t>clean, inspect, assemble and disassemble dies</w:t>
      </w:r>
    </w:p>
    <w:p w:rsidR="00000000" w:rsidRPr="00EA0F6C" w:rsidP="00EA0F6C">
      <w:pPr>
        <w:pStyle w:val="ListBullet"/>
      </w:pPr>
      <w:r w:rsidRPr="00EA0F6C">
        <w:t>select and perform minor rectification to dies</w:t>
      </w:r>
    </w:p>
    <w:p w:rsidR="00000000" w:rsidRPr="00EA0F6C" w:rsidP="00EA0F6C">
      <w:pPr>
        <w:pStyle w:val="ListBullet"/>
      </w:pPr>
      <w:r w:rsidRPr="00EA0F6C">
        <w:t xml:space="preserve">manually handle dies  </w:t>
      </w:r>
    </w:p>
    <w:p w:rsidR="00000000" w:rsidRPr="00EA0F6C" w:rsidP="00EA0F6C">
      <w:pPr>
        <w:pStyle w:val="ListBullet"/>
      </w:pPr>
      <w:r w:rsidRPr="00EA0F6C">
        <w:t>apply die coating according to work health and safety (WHS) requirements and workplace procedures.</w:t>
      </w:r>
    </w:p>
    <w:p w:rsidR="00000000" w:rsidRPr="00EA0F6C" w:rsidP="00EA0F6C">
      <w:pPr>
        <w:pStyle w:val="AllowPageBreak"/>
      </w:pPr>
    </w:p>
    <w:p w:rsidR="00000000" w:rsidRPr="00EA0F6C" w:rsidP="00EA0F6C">
      <w:pPr>
        <w:pStyle w:val="Heading1"/>
      </w:pPr>
      <w:bookmarkStart w:id="3" w:name="O_574973"/>
      <w:bookmarkEnd w:id="3"/>
      <w:r w:rsidRPr="00EA0F6C">
        <w:t>Knowledge Evidence</w:t>
      </w:r>
    </w:p>
    <w:p w:rsidR="00000000" w:rsidRPr="00EA0F6C" w:rsidP="004B41B7">
      <w:pPr>
        <w:pStyle w:val="BodyText"/>
      </w:pPr>
      <w:r w:rsidRPr="00EA0F6C">
        <w:t>Individuals must be able to demonstrate knowledge of:</w:t>
      </w:r>
    </w:p>
    <w:p w:rsidR="00000000" w:rsidRPr="00EA0F6C" w:rsidP="00EA0F6C">
      <w:pPr>
        <w:pStyle w:val="ListBullet"/>
      </w:pPr>
      <w:r w:rsidRPr="00EA0F6C">
        <w:t>WHS requirements when applying die coating</w:t>
      </w:r>
    </w:p>
    <w:p w:rsidR="00000000" w:rsidRPr="00EA0F6C" w:rsidP="00EA0F6C">
      <w:pPr>
        <w:pStyle w:val="ListBullet"/>
      </w:pPr>
      <w:r w:rsidRPr="00EA0F6C">
        <w:t>workplace procedures to apply coating to production dies</w:t>
      </w:r>
    </w:p>
    <w:p w:rsidR="00000000" w:rsidRPr="00EA0F6C" w:rsidP="00EA0F6C">
      <w:pPr>
        <w:pStyle w:val="ListBullet"/>
      </w:pPr>
      <w:r w:rsidRPr="00EA0F6C">
        <w:t>die coating application methods and processes</w:t>
      </w:r>
    </w:p>
    <w:p w:rsidR="00000000" w:rsidRPr="00EA0F6C" w:rsidP="00EA0F6C">
      <w:pPr>
        <w:pStyle w:val="ListBullet"/>
      </w:pPr>
      <w:r w:rsidRPr="00EA0F6C">
        <w:t>principles of die casting:</w:t>
      </w:r>
    </w:p>
    <w:p w:rsidR="00000000" w:rsidRPr="00EA0F6C" w:rsidP="00EA0F6C">
      <w:pPr>
        <w:pStyle w:val="ListBullet2"/>
      </w:pPr>
      <w:r w:rsidRPr="00EA0F6C">
        <w:t>purpose of dies</w:t>
      </w:r>
    </w:p>
    <w:p w:rsidR="00000000" w:rsidRPr="00EA0F6C" w:rsidP="00EA0F6C">
      <w:pPr>
        <w:pStyle w:val="ListBullet2"/>
      </w:pPr>
      <w:r w:rsidRPr="00EA0F6C">
        <w:t>methods of producing die castings</w:t>
      </w:r>
    </w:p>
    <w:p w:rsidR="00000000" w:rsidRPr="00EA0F6C" w:rsidP="00EA0F6C">
      <w:pPr>
        <w:pStyle w:val="ListBullet2"/>
      </w:pPr>
      <w:r w:rsidRPr="00EA0F6C">
        <w:t>die coat functions</w:t>
      </w:r>
    </w:p>
    <w:p w:rsidR="00000000" w:rsidRPr="00EA0F6C" w:rsidP="00EA0F6C">
      <w:pPr>
        <w:pStyle w:val="ListBullet"/>
      </w:pPr>
      <w:r w:rsidRPr="00EA0F6C">
        <w:t>procedures to inspect die castings</w:t>
      </w:r>
    </w:p>
    <w:p w:rsidR="00000000" w:rsidRPr="00EA0F6C" w:rsidP="00EA0F6C">
      <w:pPr>
        <w:pStyle w:val="ListBullet"/>
      </w:pPr>
      <w:r w:rsidRPr="00EA0F6C">
        <w:t>methods of die disassembling and re-assembling</w:t>
      </w:r>
    </w:p>
    <w:p w:rsidR="00000000" w:rsidRPr="00EA0F6C" w:rsidP="00EA0F6C">
      <w:pPr>
        <w:pStyle w:val="ListBullet"/>
      </w:pPr>
      <w:r w:rsidRPr="00EA0F6C">
        <w:t>defects in production dies and their causes</w:t>
      </w:r>
    </w:p>
    <w:p w:rsidR="00000000" w:rsidRPr="00EA0F6C" w:rsidP="00EA0F6C">
      <w:pPr>
        <w:pStyle w:val="ListBullet"/>
      </w:pPr>
      <w:r w:rsidRPr="00EA0F6C">
        <w:t>damage that can be caused to castings through inappropriate handling and storage</w:t>
      </w:r>
    </w:p>
    <w:p w:rsidR="00000000" w:rsidRPr="00EA0F6C" w:rsidP="00EA0F6C">
      <w:pPr>
        <w:pStyle w:val="ListBullet"/>
      </w:pPr>
      <w:r w:rsidRPr="00EA0F6C">
        <w:t>minor rectification methods of die faults:</w:t>
      </w:r>
    </w:p>
    <w:p w:rsidR="00000000" w:rsidRPr="00EA0F6C" w:rsidP="00EA0F6C">
      <w:pPr>
        <w:pStyle w:val="ListBullet2"/>
      </w:pPr>
      <w:r w:rsidRPr="00EA0F6C">
        <w:t>methods of testing die re-work</w:t>
      </w:r>
    </w:p>
    <w:p w:rsidR="00000000" w:rsidRPr="00EA0F6C" w:rsidP="00EA0F6C">
      <w:pPr>
        <w:pStyle w:val="ListBullet2"/>
      </w:pPr>
      <w:r w:rsidRPr="00EA0F6C">
        <w:t xml:space="preserve">die coat </w:t>
      </w:r>
      <w:r w:rsidRPr="00EA0F6C">
        <w:t xml:space="preserve">selection, cleaning and heating methods </w:t>
      </w:r>
    </w:p>
    <w:p w:rsidR="00000000" w:rsidRPr="00EA0F6C" w:rsidP="00EA0F6C">
      <w:pPr>
        <w:pStyle w:val="ListBullet"/>
      </w:pPr>
      <w:r w:rsidRPr="00EA0F6C">
        <w:t>equipment used in die coating.</w:t>
      </w:r>
    </w:p>
    <w:p w:rsidR="00000000" w:rsidRPr="00EA0F6C" w:rsidP="00EA0F6C">
      <w:pPr>
        <w:pStyle w:val="AllowPageBreak"/>
      </w:pPr>
    </w:p>
    <w:p w:rsidR="00000000" w:rsidRPr="00EA0F6C" w:rsidP="00EA0F6C">
      <w:pPr>
        <w:pStyle w:val="Heading1"/>
      </w:pPr>
      <w:bookmarkStart w:id="4" w:name="O_574974"/>
      <w:bookmarkEnd w:id="4"/>
      <w:r w:rsidRPr="00EA0F6C">
        <w:t>Assessment Conditions</w:t>
      </w:r>
    </w:p>
    <w:p w:rsidR="00000000" w:rsidRPr="00EA0F6C" w:rsidP="004B41B7">
      <w:pPr>
        <w:pStyle w:val="BodyText"/>
      </w:pPr>
      <w:r w:rsidRPr="00EA0F6C">
        <w:t>Assessors must satisfy SNR/AQTF assessor requirements.</w:t>
      </w:r>
    </w:p>
    <w:p w:rsidR="00000000" w:rsidRPr="00EA0F6C" w:rsidP="004B41B7">
      <w:pPr>
        <w:pStyle w:val="BodyText"/>
      </w:pPr>
      <w:r w:rsidRPr="00EA0F6C">
        <w:t xml:space="preserve">Competency is to be assessed in the workplace or a simulated environment that accurately </w:t>
      </w:r>
      <w:r w:rsidRPr="00EA0F6C">
        <w:t>reflects performance in a real workplace setting.</w:t>
      </w:r>
    </w:p>
    <w:p w:rsidR="00000000" w:rsidRPr="00EA0F6C" w:rsidP="004B41B7">
      <w:pPr>
        <w:pStyle w:val="BodyText"/>
      </w:pPr>
      <w:r w:rsidRPr="00EA0F6C">
        <w:t>Where assessment of competency includes third-party evidence, individuals must provide evidence that links them to the dies that they have coated, e.g. work sheets.</w:t>
      </w:r>
    </w:p>
    <w:p w:rsidR="00000000" w:rsidRPr="00EA0F6C" w:rsidP="004B41B7">
      <w:pPr>
        <w:pStyle w:val="BodyText"/>
      </w:pPr>
      <w:r w:rsidRPr="00EA0F6C">
        <w:t>Assessors must verify performance evidenc</w:t>
      </w:r>
      <w:r w:rsidRPr="00EA0F6C">
        <w:t>e through questioning on skills and knowledge to ensure correct interpretation and application.</w:t>
      </w:r>
    </w:p>
    <w:p w:rsidR="00000000" w:rsidRPr="00EA0F6C" w:rsidP="004B41B7">
      <w:pPr>
        <w:pStyle w:val="BodyText"/>
      </w:pPr>
      <w:r w:rsidRPr="00EA0F6C">
        <w:t>The following resources must be made available:</w:t>
      </w:r>
    </w:p>
    <w:p w:rsidR="00000000" w:rsidRPr="00EA0F6C" w:rsidP="00EA0F6C">
      <w:pPr>
        <w:pStyle w:val="ListBullet"/>
      </w:pPr>
      <w:r w:rsidRPr="00EA0F6C">
        <w:t>automotive manufacturing workplace or simulated workplace</w:t>
      </w:r>
    </w:p>
    <w:p w:rsidR="00000000" w:rsidRPr="00EA0F6C" w:rsidP="00EA0F6C">
      <w:pPr>
        <w:pStyle w:val="ListBullet"/>
      </w:pPr>
      <w:r w:rsidRPr="00EA0F6C">
        <w:t>tools, equipment, material and machinery required to coat dies</w:t>
      </w:r>
    </w:p>
    <w:p w:rsidR="00000000" w:rsidRPr="00EA0F6C" w:rsidP="00EA0F6C">
      <w:pPr>
        <w:pStyle w:val="ListBullet"/>
      </w:pPr>
      <w:r w:rsidRPr="00EA0F6C">
        <w:t>a range of dies relevant to motor vehicle or component manufacturing</w:t>
      </w:r>
    </w:p>
    <w:p w:rsidR="00000000" w:rsidRPr="00EA0F6C" w:rsidP="00EA0F6C">
      <w:pPr>
        <w:pStyle w:val="ListBullet"/>
      </w:pPr>
      <w:r w:rsidRPr="00EA0F6C">
        <w:t>materials to test die coating</w:t>
      </w:r>
    </w:p>
    <w:p w:rsidR="00000000" w:rsidRPr="00EA0F6C" w:rsidP="00EA0F6C">
      <w:pPr>
        <w:pStyle w:val="ListBullet"/>
      </w:pPr>
      <w:r w:rsidRPr="00EA0F6C">
        <w:t xml:space="preserve">workplace procedures relating to applying coating to production dies </w:t>
      </w:r>
    </w:p>
    <w:p w:rsidR="00000000" w:rsidRPr="00EA0F6C" w:rsidP="00EA0F6C">
      <w:pPr>
        <w:pStyle w:val="ListBullet"/>
      </w:pPr>
      <w:r w:rsidRPr="00EA0F6C">
        <w:t>work sheets and job spec</w:t>
      </w:r>
      <w:r w:rsidRPr="00EA0F6C">
        <w:t>ifications relating to applying coating to production dies.</w:t>
      </w:r>
    </w:p>
    <w:p w:rsidR="00000000" w:rsidRPr="00EA0F6C" w:rsidP="00EA0F6C">
      <w:pPr>
        <w:pStyle w:val="AllowPageBreak"/>
      </w:pPr>
    </w:p>
    <w:p w:rsidR="00000000" w:rsidRPr="00EA0F6C" w:rsidP="00EA0F6C">
      <w:pPr>
        <w:pStyle w:val="Heading1"/>
      </w:pPr>
      <w:bookmarkStart w:id="5" w:name="O_574976"/>
      <w:bookmarkEnd w:id="5"/>
      <w:r w:rsidRPr="00EA0F6C">
        <w:t>Links</w:t>
      </w:r>
    </w:p>
    <w:p w:rsidR="00000000" w:rsidRPr="00EA0F6C" w:rsidP="004B41B7">
      <w:pPr>
        <w:pStyle w:val="BodyText"/>
      </w:pPr>
      <w:r w:rsidRPr="00EA0F6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"https://vetnet.education.gov.au/Pages/TrainingDocs.aspx?q=bd587669-08b3-4cd5-85f0-f9fa0c6304c1" </w:instrText>
      </w:r>
      <w:r>
        <w:fldChar w:fldCharType="separate"/>
      </w:r>
      <w:r w:rsidRPr="007E2459">
        <w:rPr>
          <w:rStyle w:val="Hyperlink"/>
        </w:rPr>
        <w:t>https://vetnet.education.gov.au/Pages/TrainingDocs.aspx?q=bd587669-08b3-4cd5-85f0-f9fa0c6304c1</w:t>
      </w:r>
      <w:r>
        <w:fldChar w:fldCharType="end"/>
      </w:r>
    </w:p>
    <w:p w:rsidR="00000000" w:rsidRPr="00EA0F6C" w:rsidP="004B41B7">
      <w:pPr>
        <w:pStyle w:val="BodyText"/>
      </w:pPr>
      <w:r w:rsidRPr="00EA0F6C">
        <w:t xml:space="preserve">Companion Volume </w:t>
      </w:r>
      <w:r w:rsidRPr="00EA0F6C">
        <w:t xml:space="preserve">implementation guides are found in VETNet - </w:t>
      </w:r>
      <w:r>
        <w:fldChar w:fldCharType="begin"/>
      </w:r>
      <w:r>
        <w:instrText xml:space="preserve"> HYPERLINK "https://vetnet.education.gov.au/Pages/TrainingDocs.aspx?q=bd587669-08b3-4cd5-85f0-f9fa0c6304c1" </w:instrText>
      </w:r>
      <w:r>
        <w:fldChar w:fldCharType="separate"/>
      </w:r>
      <w:r w:rsidRPr="007E2459">
        <w:rPr>
          <w:rStyle w:val="Hyperlink"/>
        </w:rPr>
        <w:t>https://vetnet.education.gov.au/Pages/TrainingDocs.aspx?q=bd587669-08b3-4cd5-85f0-f9fa0c6304c1</w:t>
      </w:r>
      <w:r>
        <w:fldChar w:fldCharType="end"/>
      </w:r>
    </w:p>
    <w:p w:rsidR="00000000" w:rsidRPr="00EA0F6C" w:rsidP="00EA0F6C"/>
    <w:sectPr w:rsidSect="00EA0F6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F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F6C" w:rsidRPr="004B41B7" w:rsidP="004B41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F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1B7" w:rsidP="00EA0F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B41B7" w:rsidP="00EA0F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B41B7" w:rsidP="00EA0F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F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1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0F6C" w:rsidRPr="004B41B7" w:rsidP="004B41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F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1B7" w:rsidRPr="002D2AF8" w:rsidP="00EA0F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AUMFTA002 Perform die coating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December 2018</w:t>
    </w:r>
    <w:r>
      <w:fldChar w:fldCharType="end"/>
    </w:r>
  </w:p>
  <w:p w:rsidR="004B41B7" w:rsidP="00EA0F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FD6CC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314E1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D2269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0F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0F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0F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0F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0F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0F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0F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0F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0F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0F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0F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0F6C"/>
  </w:style>
  <w:style w:type="character" w:customStyle="1" w:styleId="Heading1Char">
    <w:name w:val="Heading 1 Char"/>
    <w:basedOn w:val="DefaultParagraphFont"/>
    <w:link w:val="Heading1"/>
    <w:rsid w:val="00EA0F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0F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0F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0F6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0F6C"/>
    <w:rPr>
      <w:b/>
      <w:spacing w:val="0"/>
    </w:rPr>
  </w:style>
  <w:style w:type="paragraph" w:styleId="ListBullet2">
    <w:name w:val="List Bullet 2"/>
    <w:basedOn w:val="List2"/>
    <w:rsid w:val="00EA0F6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A0F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0F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0F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0F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0F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0F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0F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0F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0F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0F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0F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0F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0F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0F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0F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0F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0F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0F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0F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0F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0F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0F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0F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0F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0F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A0F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0F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0F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0F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0F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0F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0F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0F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0F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0F6C"/>
    <w:rPr>
      <w:i/>
    </w:rPr>
  </w:style>
  <w:style w:type="paragraph" w:styleId="Caption">
    <w:name w:val="caption"/>
    <w:basedOn w:val="BodyText"/>
    <w:next w:val="Normal"/>
    <w:qFormat/>
    <w:rsid w:val="00EA0F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0F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0F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0F6C"/>
  </w:style>
  <w:style w:type="paragraph" w:styleId="TableofFigures">
    <w:name w:val="table of figures"/>
    <w:basedOn w:val="Normal"/>
    <w:next w:val="Normal"/>
    <w:semiHidden/>
    <w:rsid w:val="00EA0F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0F6C"/>
    <w:pPr>
      <w:numPr>
        <w:numId w:val="11"/>
      </w:numPr>
    </w:pPr>
  </w:style>
  <w:style w:type="character" w:customStyle="1" w:styleId="WingdingSymbols">
    <w:name w:val="Wingding Symbols"/>
    <w:rsid w:val="00EA0F6C"/>
    <w:rPr>
      <w:rFonts w:ascii="Wingdings" w:hAnsi="Wingdings"/>
    </w:rPr>
  </w:style>
  <w:style w:type="paragraph" w:customStyle="1" w:styleId="TableHeading">
    <w:name w:val="Table Heading"/>
    <w:basedOn w:val="HeadingBase"/>
    <w:rsid w:val="00EA0F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0F6C"/>
    <w:rPr>
      <w:color w:val="0033CC"/>
      <w:u w:val="none"/>
    </w:rPr>
  </w:style>
  <w:style w:type="paragraph" w:customStyle="1" w:styleId="BodyTextRight">
    <w:name w:val="Body Text Right"/>
    <w:basedOn w:val="BodyText"/>
    <w:rsid w:val="00EA0F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0F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0F6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0F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0F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0F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0F6C"/>
    <w:rPr>
      <w:sz w:val="32"/>
    </w:rPr>
  </w:style>
  <w:style w:type="paragraph" w:customStyle="1" w:styleId="HeadingProcedure">
    <w:name w:val="Heading Procedure"/>
    <w:basedOn w:val="HeadingBase"/>
    <w:next w:val="Normal"/>
    <w:rsid w:val="00EA0F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0F6C"/>
    <w:pPr>
      <w:spacing w:before="60" w:after="60"/>
    </w:pPr>
  </w:style>
  <w:style w:type="paragraph" w:styleId="ListContinue">
    <w:name w:val="List Continue"/>
    <w:basedOn w:val="List"/>
    <w:rsid w:val="00EA0F6C"/>
    <w:pPr>
      <w:ind w:firstLine="0"/>
    </w:pPr>
  </w:style>
  <w:style w:type="paragraph" w:customStyle="1" w:styleId="ListNote">
    <w:name w:val="List Note"/>
    <w:basedOn w:val="List"/>
    <w:rsid w:val="00EA0F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0F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0F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0F6C"/>
    <w:rPr>
      <w:rFonts w:ascii="Courier New" w:hAnsi="Courier New"/>
    </w:rPr>
  </w:style>
  <w:style w:type="paragraph" w:customStyle="1" w:styleId="NoteBullet">
    <w:name w:val="Note Bullet"/>
    <w:basedOn w:val="Note"/>
    <w:rsid w:val="00EA0F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0F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0F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0F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0F6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A0F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0F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0F6C"/>
    <w:rPr>
      <w:b/>
      <w:smallCaps/>
    </w:rPr>
  </w:style>
  <w:style w:type="paragraph" w:customStyle="1" w:styleId="TableListNumber">
    <w:name w:val="Table List Number"/>
    <w:basedOn w:val="ListNumber"/>
    <w:rsid w:val="00EA0F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0F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0F6C"/>
    <w:pPr>
      <w:numPr>
        <w:numId w:val="9"/>
      </w:numPr>
    </w:pPr>
  </w:style>
  <w:style w:type="paragraph" w:customStyle="1" w:styleId="ListAlpha2">
    <w:name w:val="List Alpha 2"/>
    <w:basedOn w:val="List2"/>
    <w:rsid w:val="00EA0F6C"/>
    <w:pPr>
      <w:numPr>
        <w:numId w:val="8"/>
      </w:numPr>
    </w:pPr>
  </w:style>
  <w:style w:type="paragraph" w:styleId="List2">
    <w:name w:val="List 2"/>
    <w:basedOn w:val="BodyText"/>
    <w:rsid w:val="00EA0F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0F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0F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0F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0F6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0F6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A0F6C"/>
    <w:pPr>
      <w:numPr>
        <w:numId w:val="4"/>
      </w:numPr>
    </w:pPr>
  </w:style>
  <w:style w:type="paragraph" w:styleId="ListContinue2">
    <w:name w:val="List Continue 2"/>
    <w:basedOn w:val="List2"/>
    <w:rsid w:val="00EA0F6C"/>
    <w:pPr>
      <w:ind w:firstLine="0"/>
    </w:pPr>
  </w:style>
  <w:style w:type="paragraph" w:styleId="ListContinue3">
    <w:name w:val="List Continue 3"/>
    <w:basedOn w:val="List3"/>
    <w:rsid w:val="00EA0F6C"/>
    <w:pPr>
      <w:ind w:left="1021" w:firstLine="0"/>
    </w:pPr>
  </w:style>
  <w:style w:type="paragraph" w:styleId="ListContinue4">
    <w:name w:val="List Continue 4"/>
    <w:basedOn w:val="List4"/>
    <w:rsid w:val="00EA0F6C"/>
    <w:pPr>
      <w:ind w:firstLine="0"/>
    </w:pPr>
  </w:style>
  <w:style w:type="paragraph" w:styleId="ListContinue5">
    <w:name w:val="List Continue 5"/>
    <w:basedOn w:val="List5"/>
    <w:rsid w:val="00EA0F6C"/>
    <w:pPr>
      <w:ind w:firstLine="0"/>
    </w:pPr>
  </w:style>
  <w:style w:type="paragraph" w:styleId="ListNumber3">
    <w:name w:val="List Number 3"/>
    <w:basedOn w:val="List3"/>
    <w:rsid w:val="00EA0F6C"/>
    <w:pPr>
      <w:numPr>
        <w:numId w:val="5"/>
      </w:numPr>
    </w:pPr>
  </w:style>
  <w:style w:type="paragraph" w:styleId="ListNumber4">
    <w:name w:val="List Number 4"/>
    <w:basedOn w:val="List4"/>
    <w:rsid w:val="00EA0F6C"/>
    <w:pPr>
      <w:numPr>
        <w:numId w:val="6"/>
      </w:numPr>
    </w:pPr>
  </w:style>
  <w:style w:type="paragraph" w:styleId="ListNumber5">
    <w:name w:val="List Number 5"/>
    <w:basedOn w:val="List5"/>
    <w:rsid w:val="00EA0F6C"/>
    <w:pPr>
      <w:numPr>
        <w:numId w:val="7"/>
      </w:numPr>
    </w:pPr>
  </w:style>
  <w:style w:type="paragraph" w:styleId="BlockText">
    <w:name w:val="Block Text"/>
    <w:basedOn w:val="Normal"/>
    <w:rsid w:val="00EA0F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0F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0F6C"/>
    <w:rPr>
      <w:sz w:val="16"/>
      <w:vertAlign w:val="superscript"/>
    </w:rPr>
  </w:style>
  <w:style w:type="character" w:customStyle="1" w:styleId="Symbols">
    <w:name w:val="Symbols"/>
    <w:basedOn w:val="DefaultParagraphFont"/>
    <w:rsid w:val="00EA0F6C"/>
    <w:rPr>
      <w:rFonts w:ascii="Symbol" w:hAnsi="Symbol"/>
    </w:rPr>
  </w:style>
  <w:style w:type="character" w:customStyle="1" w:styleId="MenuOptions">
    <w:name w:val="Menu Options"/>
    <w:basedOn w:val="DefaultParagraphFont"/>
    <w:rsid w:val="00EA0F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0F6C"/>
    <w:rPr>
      <w:b/>
    </w:rPr>
  </w:style>
  <w:style w:type="character" w:customStyle="1" w:styleId="Underlined">
    <w:name w:val="Underlined"/>
    <w:basedOn w:val="DefaultParagraphFont"/>
    <w:rsid w:val="00EA0F6C"/>
    <w:rPr>
      <w:u w:val="single"/>
    </w:rPr>
  </w:style>
  <w:style w:type="paragraph" w:customStyle="1" w:styleId="TableBodyTextRight">
    <w:name w:val="Table Body Text Right"/>
    <w:basedOn w:val="TableBodyText"/>
    <w:rsid w:val="00EA0F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0F6C"/>
    <w:rPr>
      <w:sz w:val="18"/>
    </w:rPr>
  </w:style>
  <w:style w:type="paragraph" w:customStyle="1" w:styleId="BodySmallRight">
    <w:name w:val="Body Small Right"/>
    <w:basedOn w:val="BodyTextRight"/>
    <w:rsid w:val="00EA0F6C"/>
    <w:rPr>
      <w:sz w:val="18"/>
      <w:szCs w:val="18"/>
    </w:rPr>
  </w:style>
  <w:style w:type="paragraph" w:customStyle="1" w:styleId="MarginEdition">
    <w:name w:val="Margin Edition"/>
    <w:basedOn w:val="MarginNote"/>
    <w:rsid w:val="00EA0F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0F6C"/>
    <w:rPr>
      <w:sz w:val="2"/>
      <w:szCs w:val="2"/>
    </w:rPr>
  </w:style>
  <w:style w:type="character" w:customStyle="1" w:styleId="Small">
    <w:name w:val="Small"/>
    <w:basedOn w:val="DefaultParagraphFont"/>
    <w:rsid w:val="00EA0F6C"/>
    <w:rPr>
      <w:sz w:val="16"/>
    </w:rPr>
  </w:style>
  <w:style w:type="paragraph" w:customStyle="1" w:styleId="WideTable">
    <w:name w:val="Wide Table"/>
    <w:basedOn w:val="Normal"/>
    <w:rsid w:val="00EA0F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0F6C"/>
  </w:style>
  <w:style w:type="paragraph" w:styleId="Quote">
    <w:name w:val="Quote"/>
    <w:basedOn w:val="Heading1"/>
    <w:link w:val="QuoteChar"/>
    <w:qFormat/>
    <w:rsid w:val="00EA0F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0F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0F6C"/>
    <w:pPr>
      <w:pageBreakBefore/>
    </w:pPr>
  </w:style>
  <w:style w:type="paragraph" w:customStyle="1" w:styleId="Border">
    <w:name w:val="Border"/>
    <w:basedOn w:val="Normal"/>
    <w:qFormat/>
    <w:rsid w:val="00EA0F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0F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0F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0F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0F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0F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0F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0F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0F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0F6C"/>
    <w:rPr>
      <w:u w:val="single"/>
    </w:rPr>
  </w:style>
  <w:style w:type="character" w:customStyle="1" w:styleId="BoldandItalics">
    <w:name w:val="Bold and Italics"/>
    <w:qFormat/>
    <w:rsid w:val="00EA0F6C"/>
    <w:rPr>
      <w:b/>
      <w:i/>
      <w:u w:val="none"/>
    </w:rPr>
  </w:style>
  <w:style w:type="paragraph" w:styleId="BalloonText">
    <w:name w:val="Balloon Text"/>
    <w:basedOn w:val="Normal"/>
    <w:link w:val="BalloonTextChar"/>
    <w:rsid w:val="00EA0F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0F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0F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0F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0F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0F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0F6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B41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378</Words>
  <Characters>2565</Characters>
  <Application>Microsoft Office Word</Application>
  <DocSecurity>0</DocSecurity>
  <Lines>73</Lines>
  <Paragraphs>61</Paragraphs>
  <ScaleCrop>false</ScaleCrop>
  <Company>Author-it Software Corporation Ltd.</Company>
  <LinksUpToDate>false</LinksUpToDate>
  <CharactersWithSpaces>2882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AUMFTA002 Perform die coating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2018-12-12T02:54:00Z</dcterms:created>
  <dcterms:modified xsi:type="dcterms:W3CDTF">2018-12-12T02:55:00Z</dcterms:modified>
</cp:coreProperties>
</file>