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6BE9" w:rsidP="00646B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AUMABA012 Operate load shifting equipment</w:t>
      </w:r>
      <w:r>
        <w:fldChar w:fldCharType="end"/>
      </w:r>
    </w:p>
    <w:p w:rsidR="00646BE9" w:rsidP="00646BE9">
      <w:pPr>
        <w:pStyle w:val="Version"/>
        <w:sectPr w:rsidSect="008B0B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0B39" w:rsidP="008B0B39">
      <w:pPr>
        <w:pStyle w:val="SuperHeading"/>
      </w:pPr>
      <w:r w:rsidRPr="008B0B39">
        <w:t>Assessment Requirements for AUMABA012 Operate load shifting equipment</w:t>
      </w:r>
    </w:p>
    <w:p w:rsidR="00000000" w:rsidRPr="008B0B39" w:rsidP="008B0B39">
      <w:pPr>
        <w:pStyle w:val="Heading1"/>
      </w:pPr>
      <w:bookmarkStart w:id="1" w:name="O_1018498"/>
      <w:bookmarkEnd w:id="1"/>
      <w:r w:rsidRPr="008B0B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40"/>
        <w:gridCol w:w="4140"/>
      </w:tblGrid>
      <w:tr w:rsidTr="00646B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B39" w:rsidP="008B0B39">
            <w:pPr>
              <w:pStyle w:val="BodyText"/>
            </w:pPr>
            <w:r w:rsidRPr="008B0B39">
              <w:rPr>
                <w:rStyle w:val="SpecialBold"/>
              </w:rPr>
              <w:t>Release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39">
            <w:pPr>
              <w:pStyle w:val="BodyText"/>
              <w:rPr>
                <w:lang w:val="en-NZ"/>
              </w:rPr>
            </w:pPr>
            <w:r w:rsidRPr="008B0B39">
              <w:rPr>
                <w:rStyle w:val="SpecialBold"/>
              </w:rPr>
              <w:t>Comment</w:t>
            </w:r>
          </w:p>
        </w:tc>
      </w:tr>
      <w:tr w:rsidTr="00646B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B39">
            <w:pPr>
              <w:pStyle w:val="BodyText"/>
              <w:rPr>
                <w:lang w:val="en-NZ"/>
              </w:rPr>
            </w:pPr>
            <w:r w:rsidRPr="008B0B39">
              <w:t>Release 1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B39" w:rsidP="008B0B39">
            <w:pPr>
              <w:pStyle w:val="BodyText"/>
            </w:pPr>
            <w:r w:rsidRPr="008B0B39">
              <w:t>New unit of competency.</w:t>
            </w:r>
          </w:p>
        </w:tc>
      </w:tr>
    </w:tbl>
    <w:p w:rsidR="00000000" w:rsidRPr="008B0B39" w:rsidP="008B0B39">
      <w:pPr>
        <w:pStyle w:val="BodyText"/>
      </w:pPr>
    </w:p>
    <w:p w:rsidR="00000000" w:rsidRPr="008B0B39" w:rsidP="008B0B39">
      <w:pPr>
        <w:pStyle w:val="AllowPageBreak"/>
      </w:pPr>
    </w:p>
    <w:p w:rsidR="00000000" w:rsidRPr="008B0B39" w:rsidP="008B0B39">
      <w:pPr>
        <w:pStyle w:val="Heading1"/>
      </w:pPr>
      <w:bookmarkStart w:id="2" w:name="O_1008412"/>
      <w:bookmarkEnd w:id="2"/>
      <w:r w:rsidRPr="008B0B39">
        <w:t>Performance Evidence</w:t>
      </w:r>
    </w:p>
    <w:p w:rsidR="00000000" w:rsidRPr="008B0B39" w:rsidP="00646BE9">
      <w:pPr>
        <w:pStyle w:val="BodyText"/>
      </w:pPr>
      <w:r w:rsidRPr="008B0B39">
        <w:t xml:space="preserve">Before competency can be determined, individuals must have competently operated load shifting equipment on a minimum of two occasions, in the manner described in the Performance Criteria of this unit. </w:t>
      </w:r>
    </w:p>
    <w:p w:rsidR="00000000" w:rsidRPr="008B0B39" w:rsidP="00646BE9">
      <w:pPr>
        <w:pStyle w:val="BodyText"/>
      </w:pPr>
      <w:r w:rsidRPr="008B0B39">
        <w:t xml:space="preserve">Individuals must demonstrate they can: </w:t>
      </w:r>
    </w:p>
    <w:p w:rsidR="00000000" w:rsidRPr="008B0B39" w:rsidP="008B0B39">
      <w:pPr>
        <w:pStyle w:val="ListBullet"/>
      </w:pPr>
      <w:r w:rsidRPr="008B0B39">
        <w:t xml:space="preserve">conduct pre- </w:t>
      </w:r>
      <w:r w:rsidRPr="008B0B39">
        <w:t xml:space="preserve">and post-operational checks to load shifting equipment, including inspection of: </w:t>
      </w:r>
    </w:p>
    <w:p w:rsidR="00000000" w:rsidRPr="008B0B39" w:rsidP="008B0B39">
      <w:pPr>
        <w:pStyle w:val="ListBullet2"/>
      </w:pPr>
      <w:r w:rsidRPr="008B0B39">
        <w:t xml:space="preserve">hydraulic and pneumatic leaks </w:t>
      </w:r>
    </w:p>
    <w:p w:rsidR="00000000" w:rsidRPr="008B0B39" w:rsidP="008B0B39">
      <w:pPr>
        <w:pStyle w:val="ListBullet2"/>
      </w:pPr>
      <w:r w:rsidRPr="008B0B39">
        <w:t xml:space="preserve">lifting block </w:t>
      </w:r>
    </w:p>
    <w:p w:rsidR="00000000" w:rsidRPr="008B0B39" w:rsidP="008B0B39">
      <w:pPr>
        <w:pStyle w:val="ListBullet2"/>
      </w:pPr>
      <w:r w:rsidRPr="008B0B39">
        <w:t xml:space="preserve">operation of control system </w:t>
      </w:r>
    </w:p>
    <w:p w:rsidR="00000000" w:rsidRPr="008B0B39" w:rsidP="008B0B39">
      <w:pPr>
        <w:pStyle w:val="ListBullet2"/>
      </w:pPr>
      <w:r w:rsidRPr="008B0B39">
        <w:t xml:space="preserve">vehicle hazard warning light </w:t>
      </w:r>
    </w:p>
    <w:p w:rsidR="00000000" w:rsidRPr="008B0B39" w:rsidP="008B0B39">
      <w:pPr>
        <w:pStyle w:val="ListBullet2"/>
      </w:pPr>
      <w:r w:rsidRPr="008B0B39">
        <w:t xml:space="preserve">wheels and tyres </w:t>
      </w:r>
    </w:p>
    <w:p w:rsidR="00000000" w:rsidRPr="008B0B39" w:rsidP="008B0B39">
      <w:pPr>
        <w:pStyle w:val="ListBullet2"/>
      </w:pPr>
      <w:r w:rsidRPr="008B0B39">
        <w:t xml:space="preserve">wire rope, chains and lifting attachments </w:t>
      </w:r>
    </w:p>
    <w:p w:rsidR="00000000" w:rsidRPr="008B0B39" w:rsidP="008B0B39">
      <w:pPr>
        <w:pStyle w:val="ListBullet"/>
      </w:pPr>
      <w:r w:rsidRPr="008B0B39">
        <w:t xml:space="preserve">comply with workplace procedures and relevant load shifting regulations, standards and codes of practice </w:t>
      </w:r>
    </w:p>
    <w:p w:rsidR="00000000" w:rsidRPr="008B0B39" w:rsidP="008B0B39">
      <w:pPr>
        <w:pStyle w:val="ListBullet"/>
      </w:pPr>
      <w:r w:rsidRPr="008B0B39">
        <w:t xml:space="preserve">select and use load shifting equipment appropriate to weight and volume of load </w:t>
      </w:r>
    </w:p>
    <w:p w:rsidR="00000000" w:rsidRPr="008B0B39" w:rsidP="008B0B39">
      <w:pPr>
        <w:pStyle w:val="ListBullet"/>
      </w:pPr>
      <w:r w:rsidRPr="008B0B39">
        <w:t xml:space="preserve">store and secure load shifting equipment appropriately </w:t>
      </w:r>
    </w:p>
    <w:p w:rsidR="00000000" w:rsidRPr="008B0B39" w:rsidP="008B0B39">
      <w:pPr>
        <w:pStyle w:val="ListBullet"/>
      </w:pPr>
      <w:r w:rsidRPr="008B0B39">
        <w:t>complete load</w:t>
      </w:r>
      <w:r w:rsidRPr="008B0B39">
        <w:t xml:space="preserve"> shifting equipment records. </w:t>
      </w:r>
    </w:p>
    <w:p w:rsidR="00000000" w:rsidRPr="008B0B39" w:rsidP="008B0B39">
      <w:pPr>
        <w:pStyle w:val="AllowPageBreak"/>
      </w:pPr>
    </w:p>
    <w:p w:rsidR="00000000" w:rsidRPr="008B0B39" w:rsidP="008B0B39">
      <w:pPr>
        <w:pStyle w:val="Heading1"/>
      </w:pPr>
      <w:bookmarkStart w:id="3" w:name="O_1008411"/>
      <w:bookmarkEnd w:id="3"/>
      <w:r w:rsidRPr="008B0B39">
        <w:t>Knowledge Evidence</w:t>
      </w:r>
    </w:p>
    <w:p w:rsidR="00000000" w:rsidRPr="008B0B39" w:rsidP="00646BE9">
      <w:pPr>
        <w:pStyle w:val="BodyText"/>
      </w:pPr>
      <w:r w:rsidRPr="008B0B39">
        <w:t xml:space="preserve">The candidate must be able to demonstrate knowledge to complete the tasks outlined in the elements and performance criteria of this unit. This includes: </w:t>
      </w:r>
    </w:p>
    <w:p w:rsidR="00000000" w:rsidRPr="008B0B39" w:rsidP="008B0B39">
      <w:pPr>
        <w:pStyle w:val="ListBullet"/>
      </w:pPr>
      <w:r w:rsidRPr="008B0B39">
        <w:t>WHS requirements when operating l</w:t>
      </w:r>
      <w:r w:rsidRPr="008B0B39">
        <w:t xml:space="preserve">oad shifting equipment, including overhead and ground level workplace hazards </w:t>
      </w:r>
    </w:p>
    <w:p w:rsidR="00000000" w:rsidRPr="008B0B39" w:rsidP="008B0B39">
      <w:pPr>
        <w:pStyle w:val="ListBullet"/>
      </w:pPr>
      <w:r w:rsidRPr="008B0B39">
        <w:t xml:space="preserve">types, application and operation of load shifting equipment, including: </w:t>
      </w:r>
    </w:p>
    <w:p w:rsidR="00000000" w:rsidRPr="008B0B39" w:rsidP="008B0B39">
      <w:pPr>
        <w:pStyle w:val="ListBullet2"/>
      </w:pPr>
      <w:r w:rsidRPr="008B0B39">
        <w:t xml:space="preserve">overhead travelling crane </w:t>
      </w:r>
    </w:p>
    <w:p w:rsidR="00000000" w:rsidRPr="008B0B39" w:rsidP="008B0B39">
      <w:pPr>
        <w:pStyle w:val="ListBullet2"/>
      </w:pPr>
      <w:r w:rsidRPr="008B0B39">
        <w:t xml:space="preserve">pallet truck </w:t>
      </w:r>
    </w:p>
    <w:p w:rsidR="00000000" w:rsidRPr="008B0B39" w:rsidP="008B0B39">
      <w:pPr>
        <w:pStyle w:val="ListBullet2"/>
      </w:pPr>
      <w:r w:rsidRPr="008B0B39">
        <w:t xml:space="preserve">trolley jack </w:t>
      </w:r>
    </w:p>
    <w:p w:rsidR="00000000" w:rsidRPr="008B0B39" w:rsidP="008B0B39">
      <w:pPr>
        <w:pStyle w:val="ListBullet"/>
      </w:pPr>
      <w:r w:rsidRPr="008B0B39">
        <w:t>pre and post-use inspe</w:t>
      </w:r>
      <w:r w:rsidRPr="008B0B39">
        <w:t xml:space="preserve">ction procedures for load shifting equipment </w:t>
      </w:r>
    </w:p>
    <w:p w:rsidR="00000000" w:rsidRPr="008B0B39" w:rsidP="008B0B39">
      <w:pPr>
        <w:pStyle w:val="ListBullet"/>
      </w:pPr>
      <w:r w:rsidRPr="008B0B39">
        <w:t xml:space="preserve">methods of determining load specifications, including weight, size and type </w:t>
      </w:r>
    </w:p>
    <w:p w:rsidR="00000000" w:rsidRPr="008B0B39" w:rsidP="008B0B39">
      <w:pPr>
        <w:pStyle w:val="ListBullet"/>
      </w:pPr>
      <w:r w:rsidRPr="008B0B39">
        <w:t xml:space="preserve">methods of determining appropriate load shifting equipment for the circumstance </w:t>
      </w:r>
    </w:p>
    <w:p w:rsidR="00000000" w:rsidRPr="008B0B39" w:rsidP="008B0B39">
      <w:pPr>
        <w:pStyle w:val="ListBullet"/>
      </w:pPr>
      <w:r w:rsidRPr="008B0B39">
        <w:t>load shifting equipment maintenance reports and sche</w:t>
      </w:r>
      <w:r w:rsidRPr="008B0B39">
        <w:t xml:space="preserve">dules </w:t>
      </w:r>
    </w:p>
    <w:p w:rsidR="00000000" w:rsidRPr="008B0B39" w:rsidP="008B0B39">
      <w:pPr>
        <w:pStyle w:val="ListBullet"/>
      </w:pPr>
      <w:r w:rsidRPr="008B0B39">
        <w:t xml:space="preserve">load shifting equipment storage procedures. </w:t>
      </w:r>
    </w:p>
    <w:p w:rsidR="00000000" w:rsidRPr="008B0B39" w:rsidP="008B0B39">
      <w:pPr>
        <w:pStyle w:val="AllowPageBreak"/>
      </w:pPr>
    </w:p>
    <w:p w:rsidR="00000000" w:rsidRPr="008B0B39" w:rsidP="008B0B39">
      <w:pPr>
        <w:pStyle w:val="Heading1"/>
      </w:pPr>
      <w:bookmarkStart w:id="4" w:name="O_1008410"/>
      <w:bookmarkEnd w:id="4"/>
      <w:r w:rsidRPr="008B0B39">
        <w:t>Assessment Conditions</w:t>
      </w:r>
    </w:p>
    <w:p w:rsidR="00000000" w:rsidRPr="008B0B39" w:rsidP="00646BE9">
      <w:pPr>
        <w:pStyle w:val="BodyText"/>
      </w:pPr>
      <w:r w:rsidRPr="008B0B39">
        <w:t xml:space="preserve">Assessors of this unit must satisfy the assessor requirements in applicable vocational education and training legislation, frameworks and/or standards. </w:t>
      </w:r>
    </w:p>
    <w:p w:rsidR="00000000" w:rsidRPr="008B0B39" w:rsidP="00646BE9">
      <w:pPr>
        <w:pStyle w:val="BodyText"/>
      </w:pPr>
      <w:r w:rsidRPr="008B0B39">
        <w:t>Competency</w:t>
      </w:r>
      <w:r w:rsidRPr="008B0B39">
        <w:t xml:space="preserve"> is to be assessed in the workplace or a simulated environment that accurately reflects performance in a real workplace setting. </w:t>
      </w:r>
    </w:p>
    <w:p w:rsidR="00000000" w:rsidRPr="008B0B39" w:rsidP="00646BE9">
      <w:pPr>
        <w:pStyle w:val="BodyText"/>
      </w:pPr>
      <w:r w:rsidRPr="008B0B39">
        <w:t>Where assessment of competency includes third-party evidence, individuals must provide evidence that links them to the operati</w:t>
      </w:r>
      <w:r w:rsidRPr="008B0B39">
        <w:t xml:space="preserve">on of load-shifting equipment, e.g. load shifting equipment log books. </w:t>
      </w:r>
    </w:p>
    <w:p w:rsidR="00000000" w:rsidRPr="008B0B39" w:rsidP="00646BE9">
      <w:pPr>
        <w:pStyle w:val="BodyText"/>
      </w:pPr>
      <w:r w:rsidRPr="008B0B39">
        <w:t xml:space="preserve">The following resources must be made available: </w:t>
      </w:r>
    </w:p>
    <w:p w:rsidR="00000000" w:rsidRPr="008B0B39" w:rsidP="008B0B39">
      <w:pPr>
        <w:pStyle w:val="ListBullet"/>
      </w:pPr>
      <w:r w:rsidRPr="008B0B39">
        <w:t xml:space="preserve">manufacturing workplace or simulated workplace </w:t>
      </w:r>
    </w:p>
    <w:p w:rsidR="00000000" w:rsidRPr="008B0B39" w:rsidP="008B0B39">
      <w:pPr>
        <w:pStyle w:val="ListBullet"/>
      </w:pPr>
      <w:r w:rsidRPr="008B0B39">
        <w:t xml:space="preserve">load shifting devices and equipment, including: </w:t>
      </w:r>
    </w:p>
    <w:p w:rsidR="00000000" w:rsidRPr="008B0B39" w:rsidP="008B0B39">
      <w:pPr>
        <w:pStyle w:val="ListBullet2"/>
      </w:pPr>
      <w:r w:rsidRPr="008B0B39">
        <w:t xml:space="preserve">overhead travelling crane </w:t>
      </w:r>
    </w:p>
    <w:p w:rsidR="00000000" w:rsidRPr="008B0B39" w:rsidP="008B0B39">
      <w:pPr>
        <w:pStyle w:val="ListBullet2"/>
      </w:pPr>
      <w:r w:rsidRPr="008B0B39">
        <w:t xml:space="preserve">pallet truck </w:t>
      </w:r>
    </w:p>
    <w:p w:rsidR="00000000" w:rsidRPr="008B0B39" w:rsidP="008B0B39">
      <w:pPr>
        <w:pStyle w:val="ListBullet2"/>
      </w:pPr>
      <w:r w:rsidRPr="008B0B39">
        <w:t xml:space="preserve">trolley jack. </w:t>
      </w:r>
    </w:p>
    <w:p w:rsidR="00000000" w:rsidRPr="008B0B39" w:rsidP="008B0B39">
      <w:pPr>
        <w:pStyle w:val="ListBullet"/>
      </w:pPr>
      <w:r w:rsidRPr="008B0B39">
        <w:t xml:space="preserve">workplace documentation relating to load shifting, including load shifting equipment inspection documentation </w:t>
      </w:r>
    </w:p>
    <w:p w:rsidR="00000000" w:rsidRPr="008B0B39" w:rsidP="008B0B39">
      <w:pPr>
        <w:pStyle w:val="ListBullet"/>
      </w:pPr>
      <w:r w:rsidRPr="008B0B39">
        <w:t xml:space="preserve">load shifting equipment operating instructions and procedures relevant to a manufacturing environment. </w:t>
      </w:r>
    </w:p>
    <w:p w:rsidR="00000000" w:rsidRPr="008B0B39" w:rsidP="008B0B39">
      <w:pPr>
        <w:pStyle w:val="AllowPageBreak"/>
      </w:pPr>
    </w:p>
    <w:p w:rsidR="00000000" w:rsidRPr="008B0B39" w:rsidP="008B0B39">
      <w:pPr>
        <w:pStyle w:val="Heading1"/>
      </w:pPr>
      <w:bookmarkStart w:id="5" w:name="O_1008408"/>
      <w:bookmarkEnd w:id="5"/>
      <w:r w:rsidRPr="008B0B39">
        <w:t>Links</w:t>
      </w:r>
    </w:p>
    <w:p w:rsidR="00000000" w:rsidRPr="008B0B39" w:rsidP="00646BE9">
      <w:pPr>
        <w:pStyle w:val="BodyText"/>
      </w:pPr>
      <w:r w:rsidRPr="008B0B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1F23DD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8B0B39" w:rsidP="008B0B39"/>
    <w:sectPr w:rsidSect="008B0B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B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B39" w:rsidRPr="00646BE9" w:rsidP="00646B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B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BE9" w:rsidP="008B0B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46BE9" w:rsidP="008B0B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46BE9" w:rsidP="008B0B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B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B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0B39" w:rsidRPr="00646BE9" w:rsidP="00646B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B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BE9" w:rsidRPr="002D2AF8" w:rsidP="008B0B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AUMABA012 Operate load shifting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646BE9" w:rsidP="008B0B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5F036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5EC3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06D7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0B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0B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0B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0B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0B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0B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0B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0B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0B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0B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0B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0B39"/>
  </w:style>
  <w:style w:type="character" w:customStyle="1" w:styleId="Heading1Char">
    <w:name w:val="Heading 1 Char"/>
    <w:basedOn w:val="DefaultParagraphFont"/>
    <w:link w:val="Heading1"/>
    <w:rsid w:val="008B0B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0B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0B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0B3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0B39"/>
    <w:rPr>
      <w:b/>
      <w:spacing w:val="0"/>
    </w:rPr>
  </w:style>
  <w:style w:type="paragraph" w:styleId="ListBullet2">
    <w:name w:val="List Bullet 2"/>
    <w:basedOn w:val="List2"/>
    <w:rsid w:val="008B0B3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B0B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0B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0B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0B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0B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0B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0B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0B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0B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0B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0B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0B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0B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0B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0B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0B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0B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0B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0B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0B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0B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0B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0B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0B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0B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0B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0B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0B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0B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0B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0B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0B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0B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0B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0B39"/>
    <w:rPr>
      <w:i/>
    </w:rPr>
  </w:style>
  <w:style w:type="paragraph" w:styleId="Caption">
    <w:name w:val="caption"/>
    <w:basedOn w:val="BodyText"/>
    <w:next w:val="Normal"/>
    <w:qFormat/>
    <w:rsid w:val="008B0B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0B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0B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0B39"/>
  </w:style>
  <w:style w:type="paragraph" w:styleId="TableofFigures">
    <w:name w:val="table of figures"/>
    <w:basedOn w:val="Normal"/>
    <w:next w:val="Normal"/>
    <w:semiHidden/>
    <w:rsid w:val="008B0B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0B3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B0B39"/>
    <w:rPr>
      <w:rFonts w:ascii="Wingdings" w:hAnsi="Wingdings"/>
    </w:rPr>
  </w:style>
  <w:style w:type="paragraph" w:customStyle="1" w:styleId="TableHeading">
    <w:name w:val="Table Heading"/>
    <w:basedOn w:val="HeadingBase"/>
    <w:rsid w:val="008B0B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0B39"/>
    <w:rPr>
      <w:color w:val="0033CC"/>
      <w:u w:val="none"/>
    </w:rPr>
  </w:style>
  <w:style w:type="paragraph" w:customStyle="1" w:styleId="BodyTextRight">
    <w:name w:val="Body Text Right"/>
    <w:basedOn w:val="BodyText"/>
    <w:rsid w:val="008B0B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0B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0B3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0B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0B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0B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0B39"/>
    <w:rPr>
      <w:sz w:val="32"/>
    </w:rPr>
  </w:style>
  <w:style w:type="paragraph" w:customStyle="1" w:styleId="HeadingProcedure">
    <w:name w:val="Heading Procedure"/>
    <w:basedOn w:val="HeadingBase"/>
    <w:next w:val="Normal"/>
    <w:rsid w:val="008B0B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0B39"/>
    <w:pPr>
      <w:spacing w:before="60" w:after="60"/>
    </w:pPr>
  </w:style>
  <w:style w:type="paragraph" w:styleId="ListContinue">
    <w:name w:val="List Continue"/>
    <w:basedOn w:val="List"/>
    <w:rsid w:val="008B0B39"/>
    <w:pPr>
      <w:ind w:firstLine="0"/>
    </w:pPr>
  </w:style>
  <w:style w:type="paragraph" w:customStyle="1" w:styleId="ListNote">
    <w:name w:val="List Note"/>
    <w:basedOn w:val="List"/>
    <w:rsid w:val="008B0B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0B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0B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0B39"/>
    <w:rPr>
      <w:rFonts w:ascii="Courier New" w:hAnsi="Courier New"/>
    </w:rPr>
  </w:style>
  <w:style w:type="paragraph" w:customStyle="1" w:styleId="NoteBullet">
    <w:name w:val="Note Bullet"/>
    <w:basedOn w:val="Note"/>
    <w:rsid w:val="008B0B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0B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0B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0B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0B3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0B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0B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0B39"/>
    <w:rPr>
      <w:b/>
      <w:smallCaps/>
    </w:rPr>
  </w:style>
  <w:style w:type="paragraph" w:customStyle="1" w:styleId="TableListNumber">
    <w:name w:val="Table List Number"/>
    <w:basedOn w:val="ListNumber"/>
    <w:rsid w:val="008B0B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0B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0B39"/>
    <w:pPr>
      <w:numPr>
        <w:numId w:val="9"/>
      </w:numPr>
    </w:pPr>
  </w:style>
  <w:style w:type="paragraph" w:customStyle="1" w:styleId="ListAlpha2">
    <w:name w:val="List Alpha 2"/>
    <w:basedOn w:val="List2"/>
    <w:rsid w:val="008B0B39"/>
    <w:pPr>
      <w:numPr>
        <w:numId w:val="8"/>
      </w:numPr>
    </w:pPr>
  </w:style>
  <w:style w:type="paragraph" w:styleId="List2">
    <w:name w:val="List 2"/>
    <w:basedOn w:val="BodyText"/>
    <w:rsid w:val="008B0B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0B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0B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0B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0B3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0B3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B0B39"/>
    <w:pPr>
      <w:numPr>
        <w:numId w:val="4"/>
      </w:numPr>
    </w:pPr>
  </w:style>
  <w:style w:type="paragraph" w:styleId="ListContinue2">
    <w:name w:val="List Continue 2"/>
    <w:basedOn w:val="List2"/>
    <w:rsid w:val="008B0B39"/>
    <w:pPr>
      <w:ind w:firstLine="0"/>
    </w:pPr>
  </w:style>
  <w:style w:type="paragraph" w:styleId="ListContinue3">
    <w:name w:val="List Continue 3"/>
    <w:basedOn w:val="List3"/>
    <w:rsid w:val="008B0B39"/>
    <w:pPr>
      <w:ind w:left="1021" w:firstLine="0"/>
    </w:pPr>
  </w:style>
  <w:style w:type="paragraph" w:styleId="ListContinue4">
    <w:name w:val="List Continue 4"/>
    <w:basedOn w:val="List4"/>
    <w:rsid w:val="008B0B39"/>
    <w:pPr>
      <w:ind w:firstLine="0"/>
    </w:pPr>
  </w:style>
  <w:style w:type="paragraph" w:styleId="ListContinue5">
    <w:name w:val="List Continue 5"/>
    <w:basedOn w:val="List5"/>
    <w:rsid w:val="008B0B39"/>
    <w:pPr>
      <w:ind w:firstLine="0"/>
    </w:pPr>
  </w:style>
  <w:style w:type="paragraph" w:styleId="ListNumber3">
    <w:name w:val="List Number 3"/>
    <w:basedOn w:val="List3"/>
    <w:rsid w:val="008B0B39"/>
    <w:pPr>
      <w:numPr>
        <w:numId w:val="5"/>
      </w:numPr>
    </w:pPr>
  </w:style>
  <w:style w:type="paragraph" w:styleId="ListNumber4">
    <w:name w:val="List Number 4"/>
    <w:basedOn w:val="List4"/>
    <w:rsid w:val="008B0B39"/>
    <w:pPr>
      <w:numPr>
        <w:numId w:val="6"/>
      </w:numPr>
    </w:pPr>
  </w:style>
  <w:style w:type="paragraph" w:styleId="ListNumber5">
    <w:name w:val="List Number 5"/>
    <w:basedOn w:val="List5"/>
    <w:rsid w:val="008B0B39"/>
    <w:pPr>
      <w:numPr>
        <w:numId w:val="7"/>
      </w:numPr>
    </w:pPr>
  </w:style>
  <w:style w:type="paragraph" w:styleId="BlockText">
    <w:name w:val="Block Text"/>
    <w:basedOn w:val="Normal"/>
    <w:rsid w:val="008B0B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0B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0B39"/>
    <w:rPr>
      <w:sz w:val="16"/>
      <w:vertAlign w:val="superscript"/>
    </w:rPr>
  </w:style>
  <w:style w:type="character" w:customStyle="1" w:styleId="Symbols">
    <w:name w:val="Symbols"/>
    <w:basedOn w:val="DefaultParagraphFont"/>
    <w:rsid w:val="008B0B39"/>
    <w:rPr>
      <w:rFonts w:ascii="Symbol" w:hAnsi="Symbol"/>
    </w:rPr>
  </w:style>
  <w:style w:type="character" w:customStyle="1" w:styleId="MenuOptions">
    <w:name w:val="Menu Options"/>
    <w:basedOn w:val="DefaultParagraphFont"/>
    <w:rsid w:val="008B0B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0B39"/>
    <w:rPr>
      <w:b/>
    </w:rPr>
  </w:style>
  <w:style w:type="character" w:customStyle="1" w:styleId="Underlined">
    <w:name w:val="Underlined"/>
    <w:basedOn w:val="DefaultParagraphFont"/>
    <w:rsid w:val="008B0B39"/>
    <w:rPr>
      <w:u w:val="single"/>
    </w:rPr>
  </w:style>
  <w:style w:type="paragraph" w:customStyle="1" w:styleId="TableBodyTextRight">
    <w:name w:val="Table Body Text Right"/>
    <w:basedOn w:val="TableBodyText"/>
    <w:rsid w:val="008B0B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0B39"/>
    <w:rPr>
      <w:sz w:val="18"/>
    </w:rPr>
  </w:style>
  <w:style w:type="paragraph" w:customStyle="1" w:styleId="BodySmallRight">
    <w:name w:val="Body Small Right"/>
    <w:basedOn w:val="BodyTextRight"/>
    <w:rsid w:val="008B0B39"/>
    <w:rPr>
      <w:sz w:val="18"/>
      <w:szCs w:val="18"/>
    </w:rPr>
  </w:style>
  <w:style w:type="paragraph" w:customStyle="1" w:styleId="MarginEdition">
    <w:name w:val="Margin Edition"/>
    <w:basedOn w:val="MarginNote"/>
    <w:rsid w:val="008B0B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0B39"/>
    <w:rPr>
      <w:sz w:val="2"/>
      <w:szCs w:val="2"/>
    </w:rPr>
  </w:style>
  <w:style w:type="character" w:customStyle="1" w:styleId="Small">
    <w:name w:val="Small"/>
    <w:basedOn w:val="DefaultParagraphFont"/>
    <w:rsid w:val="008B0B39"/>
    <w:rPr>
      <w:sz w:val="16"/>
    </w:rPr>
  </w:style>
  <w:style w:type="paragraph" w:customStyle="1" w:styleId="WideTable">
    <w:name w:val="Wide Table"/>
    <w:basedOn w:val="Normal"/>
    <w:rsid w:val="008B0B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0B39"/>
  </w:style>
  <w:style w:type="paragraph" w:styleId="Quote">
    <w:name w:val="Quote"/>
    <w:basedOn w:val="Heading1"/>
    <w:link w:val="QuoteChar"/>
    <w:qFormat/>
    <w:rsid w:val="008B0B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0B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0B39"/>
    <w:pPr>
      <w:pageBreakBefore/>
    </w:pPr>
  </w:style>
  <w:style w:type="paragraph" w:customStyle="1" w:styleId="Border">
    <w:name w:val="Border"/>
    <w:basedOn w:val="Normal"/>
    <w:qFormat/>
    <w:rsid w:val="008B0B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0B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0B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0B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0B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0B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0B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0B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0B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0B39"/>
    <w:rPr>
      <w:u w:val="single"/>
    </w:rPr>
  </w:style>
  <w:style w:type="character" w:customStyle="1" w:styleId="BoldandItalics">
    <w:name w:val="Bold and Italics"/>
    <w:qFormat/>
    <w:rsid w:val="008B0B39"/>
    <w:rPr>
      <w:b/>
      <w:i/>
      <w:u w:val="none"/>
    </w:rPr>
  </w:style>
  <w:style w:type="paragraph" w:styleId="BalloonText">
    <w:name w:val="Balloon Text"/>
    <w:basedOn w:val="Normal"/>
    <w:link w:val="BalloonTextChar"/>
    <w:rsid w:val="008B0B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0B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0B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0B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0B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0B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0B39"/>
    <w:pPr>
      <w:spacing w:before="0" w:after="0"/>
    </w:pPr>
  </w:style>
  <w:style w:type="paragraph" w:customStyle="1" w:styleId="BodyTextBold">
    <w:name w:val="Body Text Bold"/>
    <w:basedOn w:val="BodyText"/>
    <w:qFormat/>
    <w:rsid w:val="008B0B39"/>
    <w:rPr>
      <w:b/>
    </w:rPr>
  </w:style>
  <w:style w:type="character" w:styleId="Hyperlink">
    <w:name w:val="Hyperlink"/>
    <w:basedOn w:val="DefaultParagraphFont"/>
    <w:uiPriority w:val="99"/>
    <w:unhideWhenUsed/>
    <w:rsid w:val="00646B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388</Words>
  <Characters>2647</Characters>
  <Application>Microsoft Office Word</Application>
  <DocSecurity>0</DocSecurity>
  <Lines>75</Lines>
  <Paragraphs>58</Paragraphs>
  <ScaleCrop>false</ScaleCrop>
  <Company>Author-it Software Corporation Ltd.</Company>
  <LinksUpToDate>false</LinksUpToDate>
  <CharactersWithSpaces>2977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AUMABA012 Operate load shifting equipment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2023-12-19T07:02:00Z</dcterms:created>
  <dcterms:modified xsi:type="dcterms:W3CDTF">2023-12-19T07:02:00Z</dcterms:modified>
</cp:coreProperties>
</file>