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37F" w:rsidP="00196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AMPX421 Establish sampling program</w:t>
      </w:r>
      <w:r>
        <w:fldChar w:fldCharType="end"/>
      </w:r>
    </w:p>
    <w:p w:rsidR="0019637F" w:rsidP="0019637F">
      <w:pPr>
        <w:pStyle w:val="Version"/>
        <w:sectPr w:rsidSect="00C56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F45" w:rsidP="00C56F45">
      <w:pPr>
        <w:pStyle w:val="SuperHeading"/>
      </w:pPr>
      <w:r w:rsidRPr="00C56F45">
        <w:t>AMPX421 Establish sampling program</w:t>
      </w:r>
    </w:p>
    <w:p w:rsidR="00000000" w:rsidRPr="00C56F45" w:rsidP="00C56F45">
      <w:pPr>
        <w:pStyle w:val="Heading1"/>
      </w:pPr>
      <w:bookmarkStart w:id="1" w:name="O_737066"/>
      <w:bookmarkEnd w:id="1"/>
      <w:r w:rsidRPr="00C56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Comment</w:t>
            </w:r>
          </w:p>
        </w:tc>
      </w:tr>
      <w:tr w:rsidTr="00C5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BodyText"/>
              <w:rPr>
                <w:lang w:val="en-NZ"/>
              </w:rPr>
            </w:pPr>
            <w:r w:rsidRPr="00C56F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BodyText"/>
              <w:rPr>
                <w:lang w:val="en-NZ"/>
              </w:rPr>
            </w:pPr>
            <w:r w:rsidRPr="00C56F4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F45" w:rsidP="00C56F45">
            <w:pPr>
              <w:pStyle w:val="BodyText"/>
            </w:pPr>
            <w:r w:rsidRPr="00C56F45">
              <w:t>Initial release</w:t>
            </w:r>
          </w:p>
        </w:tc>
      </w:tr>
    </w:tbl>
    <w:p w:rsidR="00000000" w:rsidRPr="00C56F45" w:rsidP="00C56F45">
      <w:pPr>
        <w:pStyle w:val="BodyText"/>
      </w:pPr>
    </w:p>
    <w:p w:rsidR="00000000" w:rsidRPr="00C56F45" w:rsidP="00C56F45">
      <w:pPr>
        <w:pStyle w:val="AllowPageBreak"/>
      </w:pPr>
    </w:p>
    <w:p w:rsidR="00000000" w:rsidRPr="00C56F45" w:rsidP="00C56F45">
      <w:pPr>
        <w:pStyle w:val="Heading1"/>
      </w:pPr>
      <w:bookmarkStart w:id="2" w:name="O_737067"/>
      <w:bookmarkEnd w:id="2"/>
      <w:r w:rsidRPr="00C56F45">
        <w:t>Application</w:t>
      </w:r>
    </w:p>
    <w:p w:rsidR="00000000" w:rsidRPr="00C56F45" w:rsidP="0019637F">
      <w:pPr>
        <w:pStyle w:val="BodyText"/>
      </w:pPr>
      <w:r w:rsidRPr="00C56F45">
        <w:t>This unit describes the skills and knowledge required to establish a sampling program in a meat processing plant.</w:t>
      </w:r>
    </w:p>
    <w:p w:rsidR="00000000" w:rsidRPr="00C56F45" w:rsidP="0019637F">
      <w:pPr>
        <w:pStyle w:val="BodyText"/>
      </w:pPr>
      <w:r w:rsidRPr="00C56F45">
        <w:t>This unit is applicable to Quality Assurance (QA) personnel and regulatory officers required to:</w:t>
      </w:r>
    </w:p>
    <w:p w:rsidR="00000000" w:rsidRPr="00C56F45" w:rsidP="00C56F45">
      <w:pPr>
        <w:pStyle w:val="ListBullet"/>
      </w:pPr>
      <w:r w:rsidRPr="00C56F45">
        <w:t>establish a sampling plan for testing or monitoring meat and meat products</w:t>
      </w:r>
    </w:p>
    <w:p w:rsidR="00000000" w:rsidRPr="00C56F45" w:rsidP="00C56F45">
      <w:pPr>
        <w:pStyle w:val="ListBullet"/>
      </w:pPr>
      <w:r w:rsidRPr="00C56F45">
        <w:t>prepare aseptic samples for testing</w:t>
      </w:r>
    </w:p>
    <w:p w:rsidR="00000000" w:rsidRPr="00C56F45" w:rsidP="00C56F45">
      <w:pPr>
        <w:pStyle w:val="ListBullet"/>
      </w:pPr>
      <w:r w:rsidRPr="00C56F45">
        <w:t>report on testing results.</w:t>
      </w:r>
    </w:p>
    <w:p w:rsidR="00000000" w:rsidRPr="00C56F45" w:rsidP="00C56F45">
      <w:pPr>
        <w:pStyle w:val="BodyText"/>
      </w:pPr>
    </w:p>
    <w:p w:rsidR="00000000" w:rsidRPr="00C56F45" w:rsidP="0019637F">
      <w:pPr>
        <w:pStyle w:val="BodyText"/>
      </w:pPr>
      <w:r w:rsidRPr="00C56F45">
        <w:t xml:space="preserve">All work should be </w:t>
      </w:r>
      <w:r w:rsidRPr="00C56F45">
        <w:t>carried out to comply with workplace and regulatory requirements.</w:t>
      </w:r>
    </w:p>
    <w:p w:rsidR="00000000" w:rsidRPr="00C56F45" w:rsidP="0019637F">
      <w:pPr>
        <w:pStyle w:val="BodyText"/>
      </w:pPr>
      <w:r w:rsidRPr="00C56F45">
        <w:t>This unit applies to individuals who take responsibility for their own work and for the quality of others’ work within known parameters. They provide and communicate solutions to a range of</w:t>
      </w:r>
      <w:r w:rsidRPr="00C56F45">
        <w:t xml:space="preserve"> predictable and sometimes unpredictable problems.</w:t>
      </w:r>
    </w:p>
    <w:p w:rsidR="00000000" w:rsidRPr="00C56F45" w:rsidP="0019637F">
      <w:pPr>
        <w:pStyle w:val="BodyText"/>
      </w:pPr>
      <w:r w:rsidRPr="00C56F45">
        <w:t>This unit must be delivered and assessed in the context of Australian meat processing standards and regulations.</w:t>
      </w:r>
    </w:p>
    <w:p w:rsidR="00000000" w:rsidRPr="00C56F45" w:rsidP="0019637F">
      <w:pPr>
        <w:pStyle w:val="BodyText"/>
      </w:pPr>
      <w:r w:rsidRPr="00C56F45">
        <w:t>No occupational licensing, legislative or certification requirements are known to apply to</w:t>
      </w:r>
      <w:r w:rsidRPr="00C56F45">
        <w:t xml:space="preserve"> this unit at the time of publication.</w:t>
      </w:r>
    </w:p>
    <w:p w:rsidR="00000000" w:rsidRPr="00C56F45" w:rsidP="00C56F45">
      <w:pPr>
        <w:pStyle w:val="Heading1"/>
      </w:pPr>
      <w:bookmarkStart w:id="3" w:name="O_737068"/>
      <w:bookmarkEnd w:id="3"/>
      <w:r w:rsidRPr="00C56F45">
        <w:t>Pre-requisite Unit</w:t>
      </w:r>
    </w:p>
    <w:p w:rsidR="00000000" w:rsidRPr="00C56F45" w:rsidP="0019637F">
      <w:pPr>
        <w:pStyle w:val="BodyText"/>
      </w:pPr>
      <w:r w:rsidRPr="00C56F45">
        <w:t>Nil.</w:t>
      </w:r>
    </w:p>
    <w:p w:rsidR="00000000" w:rsidRPr="00C56F45" w:rsidP="00C56F45">
      <w:pPr>
        <w:pStyle w:val="Heading1"/>
      </w:pPr>
      <w:bookmarkStart w:id="4" w:name="O_737070"/>
      <w:bookmarkEnd w:id="4"/>
      <w:r w:rsidRPr="00C56F45">
        <w:t>Unit Sector</w:t>
      </w:r>
    </w:p>
    <w:p w:rsidR="00000000" w:rsidRPr="00C56F45" w:rsidP="00C56F45">
      <w:pPr>
        <w:pStyle w:val="Heading1"/>
      </w:pPr>
      <w:bookmarkStart w:id="5" w:name="O_737071"/>
      <w:bookmarkEnd w:id="5"/>
      <w:r w:rsidRPr="00C56F4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963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Performance criteria</w:t>
            </w:r>
          </w:p>
        </w:tc>
      </w:tr>
      <w:tr w:rsidTr="001963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BodyText"/>
              <w:rPr>
                <w:lang w:val="en-NZ"/>
              </w:rPr>
            </w:pPr>
            <w:r w:rsidRPr="00C56F4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BodyText"/>
              <w:rPr>
                <w:lang w:val="en-NZ"/>
              </w:rPr>
            </w:pPr>
            <w:r w:rsidRPr="00C56F45">
              <w:t>Performance criteria describe the performance needed to demonstrate achievement of the element.</w:t>
            </w:r>
          </w:p>
        </w:tc>
      </w:tr>
      <w:tr w:rsidTr="001963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List"/>
              <w:rPr>
                <w:lang w:val="en-NZ"/>
              </w:rPr>
            </w:pPr>
            <w:r w:rsidRPr="00C56F45">
              <w:t>1.</w:t>
            </w:r>
            <w:r w:rsidRPr="00C56F45">
              <w:tab/>
              <w:t>Establish and implement a valid sampling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F45" w:rsidP="00C56F45">
            <w:pPr>
              <w:pStyle w:val="List"/>
            </w:pPr>
            <w:r w:rsidRPr="00C56F45">
              <w:t>1.1</w:t>
            </w:r>
            <w:r w:rsidRPr="00C56F45">
              <w:tab/>
              <w:t>Recognise and use sampling tables from AS 1199.1-2003 and AS 1199.0-2003</w:t>
            </w:r>
          </w:p>
          <w:p w:rsidR="00000000" w:rsidRPr="00C56F45" w:rsidP="00C56F45">
            <w:pPr>
              <w:pStyle w:val="List"/>
            </w:pPr>
            <w:r w:rsidRPr="00C56F45">
              <w:t>1.2</w:t>
            </w:r>
            <w:r w:rsidRPr="00C56F45">
              <w:tab/>
            </w:r>
            <w:r w:rsidRPr="00C56F45">
              <w:t>Determine scope and purpose of sampling</w:t>
            </w:r>
          </w:p>
          <w:p w:rsidR="00000000" w:rsidRPr="00C56F45" w:rsidP="00C56F45">
            <w:pPr>
              <w:pStyle w:val="List"/>
            </w:pPr>
            <w:r w:rsidRPr="00C56F45">
              <w:t>1.3</w:t>
            </w:r>
            <w:r w:rsidRPr="00C56F45">
              <w:tab/>
              <w:t>Determine acceptable quality levels in accordance with relevant Australian Standards</w:t>
            </w:r>
          </w:p>
          <w:p w:rsidR="00000000" w:rsidRPr="00C56F45" w:rsidP="00C56F45">
            <w:pPr>
              <w:pStyle w:val="List"/>
            </w:pPr>
            <w:r w:rsidRPr="00C56F45">
              <w:t>1.4</w:t>
            </w:r>
            <w:r w:rsidRPr="00C56F45">
              <w:tab/>
              <w:t>Determine sampling plans</w:t>
            </w:r>
          </w:p>
          <w:p w:rsidR="00000000" w:rsidRPr="00C56F45" w:rsidP="00C56F45">
            <w:pPr>
              <w:pStyle w:val="List"/>
            </w:pPr>
            <w:r w:rsidRPr="00C56F45">
              <w:t>1.5</w:t>
            </w:r>
            <w:r w:rsidRPr="00C56F45">
              <w:tab/>
              <w:t>Conduct sampling according to workplace requirements</w:t>
            </w:r>
          </w:p>
          <w:p w:rsidR="00000000" w:rsidRPr="00C56F45" w:rsidP="00C56F45">
            <w:pPr>
              <w:pStyle w:val="List"/>
            </w:pPr>
            <w:r w:rsidRPr="00C56F45">
              <w:t>1.6</w:t>
            </w:r>
            <w:r w:rsidRPr="00C56F45">
              <w:tab/>
              <w:t>Record and monitor test results</w:t>
            </w:r>
          </w:p>
          <w:p w:rsidR="00000000" w:rsidRPr="00C56F45" w:rsidP="00C56F45">
            <w:pPr>
              <w:pStyle w:val="List"/>
            </w:pPr>
            <w:r w:rsidRPr="00C56F45">
              <w:t>Inter</w:t>
            </w:r>
            <w:r w:rsidRPr="00C56F45">
              <w:t>pret and report test results to relevant personnel</w:t>
            </w:r>
          </w:p>
        </w:tc>
      </w:tr>
    </w:tbl>
    <w:p w:rsidR="00000000" w:rsidRPr="00C56F45" w:rsidP="00C56F45">
      <w:pPr>
        <w:pStyle w:val="BodyText"/>
      </w:pPr>
    </w:p>
    <w:p w:rsidR="00000000" w:rsidRPr="00C56F45" w:rsidP="00C56F45">
      <w:pPr>
        <w:pStyle w:val="AllowPageBreak"/>
      </w:pPr>
    </w:p>
    <w:p w:rsidR="00000000" w:rsidRPr="00C56F45" w:rsidP="00C56F45">
      <w:pPr>
        <w:pStyle w:val="Heading1"/>
      </w:pPr>
      <w:bookmarkStart w:id="6" w:name="O_737072"/>
      <w:bookmarkEnd w:id="6"/>
      <w:r w:rsidRPr="00C56F45">
        <w:t>Foundation Skills</w:t>
      </w:r>
    </w:p>
    <w:p w:rsidR="00000000" w:rsidRPr="00C56F45" w:rsidP="0019637F">
      <w:pPr>
        <w:pStyle w:val="BodyText"/>
      </w:pPr>
      <w:r w:rsidRPr="00C56F45">
        <w:t>Foundation Skills essential to performance are explicit in the performance criteria of this unit of competency.</w:t>
      </w:r>
    </w:p>
    <w:p w:rsidR="00000000" w:rsidRPr="00C56F45" w:rsidP="00C56F45">
      <w:pPr>
        <w:pStyle w:val="Heading1"/>
      </w:pPr>
      <w:bookmarkStart w:id="7" w:name="O_737073"/>
      <w:bookmarkEnd w:id="7"/>
      <w:r w:rsidRPr="00C56F45">
        <w:t>Range of Conditions</w:t>
      </w:r>
    </w:p>
    <w:p w:rsidR="00000000" w:rsidRPr="00C56F45" w:rsidP="00C56F45">
      <w:pPr>
        <w:pStyle w:val="Heading1"/>
      </w:pPr>
      <w:bookmarkStart w:id="8" w:name="O_737074"/>
      <w:bookmarkEnd w:id="8"/>
      <w:r w:rsidRPr="00C56F45">
        <w:t>Uni</w:t>
      </w:r>
      <w:r w:rsidRPr="00C56F45">
        <w:t>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19637F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BodyText"/>
              <w:rPr>
                <w:lang w:val="en-NZ"/>
              </w:rPr>
            </w:pPr>
            <w:r w:rsidRPr="00C56F45">
              <w:t>MTMPSR414A Establish sampling program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F45" w:rsidP="00C56F45">
            <w:pPr>
              <w:pStyle w:val="BodyText"/>
            </w:pPr>
            <w:r w:rsidRPr="00C56F45">
              <w:t>E</w:t>
            </w:r>
          </w:p>
        </w:tc>
      </w:tr>
    </w:tbl>
    <w:p w:rsidR="00000000" w:rsidRPr="00C56F45" w:rsidP="00C56F45">
      <w:pPr>
        <w:pStyle w:val="BodyText"/>
      </w:pPr>
    </w:p>
    <w:p w:rsidR="00000000" w:rsidRPr="00C56F45" w:rsidP="00C56F45">
      <w:pPr>
        <w:pStyle w:val="AllowPageBreak"/>
      </w:pPr>
    </w:p>
    <w:p w:rsidR="00000000" w:rsidRPr="00C56F45" w:rsidP="00C56F45">
      <w:pPr>
        <w:pStyle w:val="Heading1"/>
      </w:pPr>
      <w:bookmarkStart w:id="9" w:name="O_737081"/>
      <w:bookmarkEnd w:id="9"/>
      <w:r w:rsidRPr="00C56F45">
        <w:t>Links</w:t>
      </w:r>
    </w:p>
    <w:p w:rsidR="00000000" w:rsidRPr="00C56F45" w:rsidP="0019637F">
      <w:pPr>
        <w:pStyle w:val="BodyText"/>
      </w:pPr>
      <w:r w:rsidRPr="00C56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1E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6F45" w:rsidP="0019637F">
      <w:pPr>
        <w:pStyle w:val="BodyText"/>
        <w:sectPr w:rsidSect="00C56F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6F45" w:rsidP="00C56F45">
      <w:pPr>
        <w:pStyle w:val="SuperHeading"/>
      </w:pPr>
      <w:r w:rsidRPr="00C56F45">
        <w:t>Assessment Requirements for AMPX421 Establish sampling program</w:t>
      </w:r>
    </w:p>
    <w:p w:rsidR="00000000" w:rsidRPr="00C56F45" w:rsidP="00C56F45">
      <w:pPr>
        <w:pStyle w:val="Heading1"/>
      </w:pPr>
      <w:bookmarkStart w:id="10" w:name="O_737076"/>
      <w:bookmarkEnd w:id="10"/>
      <w:r w:rsidRPr="00C56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TableHeading"/>
              <w:rPr>
                <w:lang w:val="en-NZ"/>
              </w:rPr>
            </w:pPr>
            <w:r w:rsidRPr="00C56F45">
              <w:t>Comment</w:t>
            </w:r>
          </w:p>
        </w:tc>
      </w:tr>
      <w:tr w:rsidTr="00C56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BodyText"/>
              <w:rPr>
                <w:lang w:val="en-NZ"/>
              </w:rPr>
            </w:pPr>
            <w:r w:rsidRPr="00C56F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F45">
            <w:pPr>
              <w:pStyle w:val="BodyText"/>
              <w:rPr>
                <w:lang w:val="en-NZ"/>
              </w:rPr>
            </w:pPr>
            <w:r w:rsidRPr="00C56F4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F45" w:rsidP="00C56F45">
            <w:pPr>
              <w:pStyle w:val="BodyText"/>
            </w:pPr>
            <w:r w:rsidRPr="00C56F45">
              <w:t>Initial release</w:t>
            </w:r>
          </w:p>
        </w:tc>
      </w:tr>
    </w:tbl>
    <w:p w:rsidR="00000000" w:rsidRPr="00C56F45" w:rsidP="00C56F45">
      <w:pPr>
        <w:pStyle w:val="BodyText"/>
      </w:pPr>
    </w:p>
    <w:p w:rsidR="00000000" w:rsidRPr="00C56F45" w:rsidP="00C56F45">
      <w:pPr>
        <w:pStyle w:val="AllowPageBreak"/>
      </w:pPr>
    </w:p>
    <w:p w:rsidR="00000000" w:rsidRPr="00C56F45" w:rsidP="00C56F45">
      <w:pPr>
        <w:pStyle w:val="Heading1"/>
      </w:pPr>
      <w:bookmarkStart w:id="11" w:name="O_737077"/>
      <w:bookmarkEnd w:id="11"/>
      <w:r w:rsidRPr="00C56F45">
        <w:t>Performance Evidence</w:t>
      </w:r>
    </w:p>
    <w:p w:rsidR="00000000" w:rsidRPr="00C56F45" w:rsidP="0019637F">
      <w:pPr>
        <w:pStyle w:val="BodyText"/>
      </w:pPr>
      <w:r w:rsidRPr="00C56F45">
        <w:t>The candidate must establish a sampling program. Evidence must demonstrate the candidate’s consistency of performance over time.</w:t>
      </w:r>
    </w:p>
    <w:p w:rsidR="00000000" w:rsidRPr="00C56F45" w:rsidP="0019637F">
      <w:pPr>
        <w:pStyle w:val="BodyText"/>
      </w:pPr>
      <w:r w:rsidRPr="00C56F45">
        <w:t xml:space="preserve">The candidate must: </w:t>
      </w:r>
    </w:p>
    <w:p w:rsidR="00000000" w:rsidRPr="00C56F45" w:rsidP="00C56F45">
      <w:pPr>
        <w:pStyle w:val="ListBullet"/>
      </w:pPr>
      <w:r w:rsidRPr="00C56F45">
        <w:t>establish a sampling plan in accordance with relevant Australian Standards</w:t>
      </w:r>
    </w:p>
    <w:p w:rsidR="00000000" w:rsidRPr="00C56F45" w:rsidP="00C56F45">
      <w:pPr>
        <w:pStyle w:val="ListBullet"/>
      </w:pPr>
      <w:r w:rsidRPr="00C56F45">
        <w:t>demonstrate aseptic sampling techniques for micro-samples or swabs</w:t>
      </w:r>
    </w:p>
    <w:p w:rsidR="00000000" w:rsidRPr="00C56F45" w:rsidP="00C56F45">
      <w:pPr>
        <w:pStyle w:val="ListBullet"/>
      </w:pPr>
      <w:r w:rsidRPr="00C56F45">
        <w:t>apply an appropriate level of mathematical skills to undertake accurate sampling</w:t>
      </w:r>
    </w:p>
    <w:p w:rsidR="00000000" w:rsidRPr="00C56F45" w:rsidP="00C56F45">
      <w:pPr>
        <w:pStyle w:val="ListBullet"/>
      </w:pPr>
      <w:r w:rsidRPr="00C56F45">
        <w:t>utilise available workplace technology to establish, record and monitor sampling program data</w:t>
      </w:r>
    </w:p>
    <w:p w:rsidR="00000000" w:rsidRPr="00C56F45" w:rsidP="00C56F45">
      <w:pPr>
        <w:pStyle w:val="ListBullet"/>
      </w:pPr>
      <w:r w:rsidRPr="00C56F45">
        <w:t>work effective</w:t>
      </w:r>
      <w:r w:rsidRPr="00C56F45">
        <w:t>ly as an individual and as part of a team</w:t>
      </w:r>
    </w:p>
    <w:p w:rsidR="00000000" w:rsidRPr="00C56F45" w:rsidP="00C56F45">
      <w:pPr>
        <w:pStyle w:val="ListBullet"/>
      </w:pPr>
      <w:r w:rsidRPr="00C56F45">
        <w:t>identify and apply relevant workplace health and safety, regulatory and workplace requirements</w:t>
      </w:r>
    </w:p>
    <w:p w:rsidR="00000000" w:rsidRPr="00C56F45" w:rsidP="00C56F45">
      <w:pPr>
        <w:pStyle w:val="ListBullet"/>
      </w:pPr>
      <w:r w:rsidRPr="00C56F45">
        <w:t>record sampling information accurately to meet workplace and regulatory requirements</w:t>
      </w:r>
    </w:p>
    <w:p w:rsidR="00000000" w:rsidRPr="00C56F45" w:rsidP="00C56F45">
      <w:pPr>
        <w:pStyle w:val="ListBullet"/>
      </w:pPr>
      <w:r w:rsidRPr="00C56F45">
        <w:t>report test results to relevant pe</w:t>
      </w:r>
      <w:r w:rsidRPr="00C56F45">
        <w:t>rsonnel promptly</w:t>
      </w:r>
    </w:p>
    <w:p w:rsidR="00000000" w:rsidRPr="00C56F45" w:rsidP="00C56F45">
      <w:pPr>
        <w:pStyle w:val="ListBullet"/>
      </w:pPr>
      <w:r w:rsidRPr="00C56F45">
        <w:t>use relevant communication skills</w:t>
      </w:r>
    </w:p>
    <w:p w:rsidR="00000000" w:rsidRPr="00C56F45" w:rsidP="00C56F45">
      <w:pPr>
        <w:pStyle w:val="AllowPageBreak"/>
      </w:pPr>
    </w:p>
    <w:p w:rsidR="00000000" w:rsidRPr="00C56F45" w:rsidP="00C56F45">
      <w:pPr>
        <w:pStyle w:val="Heading1"/>
      </w:pPr>
      <w:bookmarkStart w:id="12" w:name="O_737078"/>
      <w:bookmarkEnd w:id="12"/>
      <w:r w:rsidRPr="00C56F45">
        <w:t>Knowledge Evidence</w:t>
      </w:r>
    </w:p>
    <w:p w:rsidR="00000000" w:rsidRPr="00C56F45" w:rsidP="0019637F">
      <w:pPr>
        <w:pStyle w:val="BodyText"/>
      </w:pPr>
      <w:r w:rsidRPr="00C56F45">
        <w:t>The candidate must demonstrate a broad factual, technical and theoretical knowledge of:</w:t>
      </w:r>
    </w:p>
    <w:p w:rsidR="00000000" w:rsidRPr="00C56F45" w:rsidP="00C56F45">
      <w:pPr>
        <w:pStyle w:val="ListBullet"/>
      </w:pPr>
      <w:r w:rsidRPr="00C56F45">
        <w:t>routine tests performed on meat or meat products in the plant</w:t>
      </w:r>
    </w:p>
    <w:p w:rsidR="00000000" w:rsidRPr="00C56F45" w:rsidP="00C56F45">
      <w:pPr>
        <w:pStyle w:val="ListBullet"/>
      </w:pPr>
      <w:r w:rsidRPr="00C56F45">
        <w:t>preparation and an</w:t>
      </w:r>
      <w:r w:rsidRPr="00C56F45">
        <w:t>alysis of specimens or samples</w:t>
      </w:r>
    </w:p>
    <w:p w:rsidR="00000000" w:rsidRPr="00C56F45" w:rsidP="00C56F45">
      <w:pPr>
        <w:pStyle w:val="ListBullet"/>
      </w:pPr>
      <w:r w:rsidRPr="00C56F45">
        <w:t>requirements of relevant Australian Standards</w:t>
      </w:r>
    </w:p>
    <w:p w:rsidR="00000000" w:rsidRPr="00C56F45" w:rsidP="00C56F45">
      <w:pPr>
        <w:pStyle w:val="AllowPageBreak"/>
      </w:pPr>
    </w:p>
    <w:p w:rsidR="00000000" w:rsidRPr="00C56F45" w:rsidP="00C56F45">
      <w:pPr>
        <w:pStyle w:val="Heading1"/>
      </w:pPr>
      <w:bookmarkStart w:id="13" w:name="O_737079"/>
      <w:bookmarkEnd w:id="13"/>
      <w:r w:rsidRPr="00C56F45">
        <w:t>Assessment Conditions</w:t>
      </w:r>
    </w:p>
    <w:p w:rsidR="00000000" w:rsidRPr="00C56F45" w:rsidP="0019637F">
      <w:pPr>
        <w:pStyle w:val="BodyText"/>
      </w:pPr>
      <w:r w:rsidRPr="00C56F45">
        <w:t>Competency must be demonstrated using the current Australian Standard and implementing an approved workplace procedure. Assessment must invo</w:t>
      </w:r>
      <w:r w:rsidRPr="00C56F45">
        <w:t>lve a demonstration of skills at a meat processing plant or related work situation.</w:t>
      </w:r>
    </w:p>
    <w:p w:rsidR="00000000" w:rsidRPr="00C56F45" w:rsidP="0019637F">
      <w:pPr>
        <w:pStyle w:val="BodyText"/>
      </w:pPr>
      <w:r w:rsidRPr="00C56F45">
        <w:t xml:space="preserve">A minimum of three different forms of assessment must be used. </w:t>
      </w:r>
    </w:p>
    <w:p w:rsidR="00000000" w:rsidRPr="00C56F45" w:rsidP="0019637F">
      <w:pPr>
        <w:pStyle w:val="BodyText"/>
      </w:pPr>
      <w:r w:rsidRPr="00C56F45">
        <w:t>Assessors must satisfy current standards for RTOs.</w:t>
      </w:r>
    </w:p>
    <w:p w:rsidR="00000000" w:rsidRPr="00C56F45" w:rsidP="00C56F45">
      <w:pPr>
        <w:pStyle w:val="Heading1"/>
      </w:pPr>
      <w:bookmarkStart w:id="14" w:name="O_737082"/>
      <w:bookmarkEnd w:id="14"/>
      <w:r w:rsidRPr="00C56F45">
        <w:t>Links</w:t>
      </w:r>
    </w:p>
    <w:p w:rsidR="00000000" w:rsidRPr="00C56F45" w:rsidP="0019637F">
      <w:pPr>
        <w:pStyle w:val="BodyText"/>
      </w:pPr>
      <w:r w:rsidRPr="00C56F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1E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56F45" w:rsidP="00C56F45"/>
    <w:sectPr w:rsidSect="00C56F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45" w:rsidRPr="0019637F" w:rsidP="00196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7F" w:rsidP="00C56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37F" w:rsidP="00C56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637F" w:rsidP="00C56F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45" w:rsidP="00C56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637F">
      <w:t>Approved</w:t>
    </w:r>
    <w:r w:rsidR="001963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63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637F">
      <w:rPr>
        <w:noProof/>
      </w:rPr>
      <w:t>4</w:t>
    </w:r>
    <w:r>
      <w:rPr>
        <w:noProof/>
      </w:rPr>
      <w:fldChar w:fldCharType="end"/>
    </w:r>
  </w:p>
  <w:p w:rsidR="00C56F45" w:rsidP="00C56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63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637F">
      <w:t>Skills Insight</w:t>
    </w:r>
    <w:r w:rsidR="0019637F">
      <w:fldChar w:fldCharType="end"/>
    </w:r>
  </w:p>
  <w:p w:rsidR="00C56F45" w:rsidP="00C56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F45" w:rsidRPr="0019637F" w:rsidP="00196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7F" w:rsidRPr="002D2AF8" w:rsidP="00C56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AMPX421 Establish sampling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637F" w:rsidP="00C56F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45" w:rsidRPr="002D2AF8" w:rsidP="00C56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637F">
      <w:t>AMPX421 Establish sampling program</w:t>
    </w:r>
    <w:r w:rsidR="001963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637F">
      <w:rPr>
        <w:noProof/>
      </w:rPr>
      <w:t>2 March 2025</w:t>
    </w:r>
    <w:r>
      <w:fldChar w:fldCharType="end"/>
    </w:r>
  </w:p>
  <w:p w:rsidR="00C56F45" w:rsidP="00C56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A8F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6CA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F45"/>
  </w:style>
  <w:style w:type="character" w:customStyle="1" w:styleId="Heading1Char">
    <w:name w:val="Heading 1 Char"/>
    <w:basedOn w:val="DefaultParagraphFont"/>
    <w:link w:val="Heading1"/>
    <w:rsid w:val="00C56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F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6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6F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6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6F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6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F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6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F45"/>
    <w:rPr>
      <w:b/>
      <w:spacing w:val="0"/>
    </w:rPr>
  </w:style>
  <w:style w:type="paragraph" w:customStyle="1" w:styleId="SuperTitle">
    <w:name w:val="SuperTitle"/>
    <w:basedOn w:val="Title"/>
    <w:rsid w:val="00C56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F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F45"/>
    <w:rPr>
      <w:i/>
    </w:rPr>
  </w:style>
  <w:style w:type="paragraph" w:styleId="Caption">
    <w:name w:val="caption"/>
    <w:basedOn w:val="BodyText"/>
    <w:next w:val="Normal"/>
    <w:qFormat/>
    <w:rsid w:val="00C56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F45"/>
  </w:style>
  <w:style w:type="paragraph" w:styleId="TableofFigures">
    <w:name w:val="table of figures"/>
    <w:basedOn w:val="Normal"/>
    <w:next w:val="Normal"/>
    <w:semiHidden/>
    <w:rsid w:val="00C56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F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6F45"/>
    <w:rPr>
      <w:rFonts w:ascii="Wingdings" w:hAnsi="Wingdings"/>
    </w:rPr>
  </w:style>
  <w:style w:type="character" w:customStyle="1" w:styleId="HotSpot">
    <w:name w:val="HotSpot"/>
    <w:rsid w:val="00C56F45"/>
    <w:rPr>
      <w:color w:val="0033CC"/>
      <w:u w:val="none"/>
    </w:rPr>
  </w:style>
  <w:style w:type="paragraph" w:customStyle="1" w:styleId="BodyTextRight">
    <w:name w:val="Body Text Right"/>
    <w:basedOn w:val="BodyText"/>
    <w:rsid w:val="00C56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F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F45"/>
    <w:rPr>
      <w:sz w:val="32"/>
    </w:rPr>
  </w:style>
  <w:style w:type="paragraph" w:customStyle="1" w:styleId="HeadingProcedure">
    <w:name w:val="Heading Procedure"/>
    <w:basedOn w:val="HeadingBase"/>
    <w:next w:val="Normal"/>
    <w:rsid w:val="00C56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F45"/>
    <w:pPr>
      <w:spacing w:before="60" w:after="60"/>
    </w:pPr>
  </w:style>
  <w:style w:type="paragraph" w:styleId="ListContinue">
    <w:name w:val="List Continue"/>
    <w:basedOn w:val="List"/>
    <w:rsid w:val="00C56F45"/>
    <w:pPr>
      <w:ind w:firstLine="0"/>
    </w:pPr>
  </w:style>
  <w:style w:type="paragraph" w:customStyle="1" w:styleId="ListNote">
    <w:name w:val="List Note"/>
    <w:basedOn w:val="List"/>
    <w:rsid w:val="00C56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F45"/>
    <w:rPr>
      <w:rFonts w:ascii="Courier New" w:hAnsi="Courier New"/>
    </w:rPr>
  </w:style>
  <w:style w:type="paragraph" w:customStyle="1" w:styleId="NoteBullet">
    <w:name w:val="Note Bullet"/>
    <w:basedOn w:val="Note"/>
    <w:rsid w:val="00C56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F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F45"/>
    <w:rPr>
      <w:b/>
      <w:smallCaps/>
    </w:rPr>
  </w:style>
  <w:style w:type="paragraph" w:customStyle="1" w:styleId="TableListNumber">
    <w:name w:val="Table List Number"/>
    <w:basedOn w:val="ListNumber"/>
    <w:rsid w:val="00C56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F45"/>
    <w:pPr>
      <w:numPr>
        <w:numId w:val="8"/>
      </w:numPr>
    </w:pPr>
  </w:style>
  <w:style w:type="paragraph" w:customStyle="1" w:styleId="ListAlpha2">
    <w:name w:val="List Alpha 2"/>
    <w:basedOn w:val="List2"/>
    <w:rsid w:val="00C56F45"/>
    <w:pPr>
      <w:numPr>
        <w:numId w:val="7"/>
      </w:numPr>
    </w:pPr>
  </w:style>
  <w:style w:type="paragraph" w:styleId="List2">
    <w:name w:val="List 2"/>
    <w:basedOn w:val="BodyText"/>
    <w:rsid w:val="00C56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F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F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F45"/>
    <w:pPr>
      <w:numPr>
        <w:numId w:val="3"/>
      </w:numPr>
    </w:pPr>
  </w:style>
  <w:style w:type="paragraph" w:styleId="ListContinue2">
    <w:name w:val="List Continue 2"/>
    <w:basedOn w:val="List2"/>
    <w:rsid w:val="00C56F45"/>
    <w:pPr>
      <w:ind w:firstLine="0"/>
    </w:pPr>
  </w:style>
  <w:style w:type="paragraph" w:styleId="ListContinue3">
    <w:name w:val="List Continue 3"/>
    <w:basedOn w:val="List3"/>
    <w:rsid w:val="00C56F45"/>
    <w:pPr>
      <w:ind w:left="1021" w:firstLine="0"/>
    </w:pPr>
  </w:style>
  <w:style w:type="paragraph" w:styleId="ListContinue4">
    <w:name w:val="List Continue 4"/>
    <w:basedOn w:val="List4"/>
    <w:rsid w:val="00C56F45"/>
    <w:pPr>
      <w:ind w:firstLine="0"/>
    </w:pPr>
  </w:style>
  <w:style w:type="paragraph" w:styleId="ListContinue5">
    <w:name w:val="List Continue 5"/>
    <w:basedOn w:val="List5"/>
    <w:rsid w:val="00C56F45"/>
    <w:pPr>
      <w:ind w:firstLine="0"/>
    </w:pPr>
  </w:style>
  <w:style w:type="paragraph" w:styleId="ListNumber3">
    <w:name w:val="List Number 3"/>
    <w:basedOn w:val="List3"/>
    <w:rsid w:val="00C56F45"/>
    <w:pPr>
      <w:numPr>
        <w:numId w:val="4"/>
      </w:numPr>
    </w:pPr>
  </w:style>
  <w:style w:type="paragraph" w:styleId="ListNumber4">
    <w:name w:val="List Number 4"/>
    <w:basedOn w:val="List4"/>
    <w:rsid w:val="00C56F45"/>
    <w:pPr>
      <w:numPr>
        <w:numId w:val="5"/>
      </w:numPr>
    </w:pPr>
  </w:style>
  <w:style w:type="paragraph" w:styleId="ListNumber5">
    <w:name w:val="List Number 5"/>
    <w:basedOn w:val="List5"/>
    <w:rsid w:val="00C56F45"/>
    <w:pPr>
      <w:numPr>
        <w:numId w:val="6"/>
      </w:numPr>
    </w:pPr>
  </w:style>
  <w:style w:type="paragraph" w:styleId="BlockText">
    <w:name w:val="Block Text"/>
    <w:basedOn w:val="Normal"/>
    <w:rsid w:val="00C56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F45"/>
    <w:rPr>
      <w:sz w:val="16"/>
      <w:vertAlign w:val="superscript"/>
    </w:rPr>
  </w:style>
  <w:style w:type="character" w:customStyle="1" w:styleId="Symbols">
    <w:name w:val="Symbols"/>
    <w:basedOn w:val="DefaultParagraphFont"/>
    <w:rsid w:val="00C56F45"/>
    <w:rPr>
      <w:rFonts w:ascii="Symbol" w:hAnsi="Symbol"/>
    </w:rPr>
  </w:style>
  <w:style w:type="character" w:customStyle="1" w:styleId="MenuOptions">
    <w:name w:val="Menu Options"/>
    <w:basedOn w:val="DefaultParagraphFont"/>
    <w:rsid w:val="00C56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F45"/>
    <w:rPr>
      <w:b/>
    </w:rPr>
  </w:style>
  <w:style w:type="character" w:customStyle="1" w:styleId="Underlined">
    <w:name w:val="Underlined"/>
    <w:basedOn w:val="DefaultParagraphFont"/>
    <w:rsid w:val="00C56F45"/>
    <w:rPr>
      <w:u w:val="single"/>
    </w:rPr>
  </w:style>
  <w:style w:type="paragraph" w:customStyle="1" w:styleId="TableBodyTextRight">
    <w:name w:val="Table Body Text Right"/>
    <w:basedOn w:val="TableBodyText"/>
    <w:rsid w:val="00C56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F45"/>
    <w:rPr>
      <w:sz w:val="18"/>
    </w:rPr>
  </w:style>
  <w:style w:type="paragraph" w:customStyle="1" w:styleId="BodySmallRight">
    <w:name w:val="Body Small Right"/>
    <w:basedOn w:val="BodyTextRight"/>
    <w:rsid w:val="00C56F45"/>
    <w:rPr>
      <w:sz w:val="18"/>
      <w:szCs w:val="18"/>
    </w:rPr>
  </w:style>
  <w:style w:type="paragraph" w:customStyle="1" w:styleId="MarginEdition">
    <w:name w:val="Margin Edition"/>
    <w:basedOn w:val="MarginNote"/>
    <w:rsid w:val="00C56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F45"/>
    <w:rPr>
      <w:sz w:val="2"/>
      <w:szCs w:val="2"/>
    </w:rPr>
  </w:style>
  <w:style w:type="character" w:customStyle="1" w:styleId="Small">
    <w:name w:val="Small"/>
    <w:basedOn w:val="DefaultParagraphFont"/>
    <w:rsid w:val="00C56F45"/>
    <w:rPr>
      <w:sz w:val="16"/>
    </w:rPr>
  </w:style>
  <w:style w:type="paragraph" w:customStyle="1" w:styleId="WideTable">
    <w:name w:val="Wide Table"/>
    <w:basedOn w:val="Normal"/>
    <w:rsid w:val="00C56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F45"/>
  </w:style>
  <w:style w:type="paragraph" w:styleId="Quote">
    <w:name w:val="Quote"/>
    <w:basedOn w:val="Heading1"/>
    <w:link w:val="QuoteChar"/>
    <w:qFormat/>
    <w:rsid w:val="00C56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F45"/>
    <w:pPr>
      <w:pageBreakBefore/>
    </w:pPr>
  </w:style>
  <w:style w:type="paragraph" w:customStyle="1" w:styleId="Border">
    <w:name w:val="Border"/>
    <w:basedOn w:val="Normal"/>
    <w:qFormat/>
    <w:rsid w:val="00C56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F45"/>
    <w:rPr>
      <w:u w:val="single"/>
    </w:rPr>
  </w:style>
  <w:style w:type="character" w:customStyle="1" w:styleId="BoldandItalics">
    <w:name w:val="Bold and Italics"/>
    <w:qFormat/>
    <w:rsid w:val="00C56F45"/>
    <w:rPr>
      <w:b/>
      <w:i/>
      <w:u w:val="none"/>
    </w:rPr>
  </w:style>
  <w:style w:type="paragraph" w:styleId="BalloonText">
    <w:name w:val="Balloon Text"/>
    <w:basedOn w:val="Normal"/>
    <w:link w:val="BalloonTextChar"/>
    <w:rsid w:val="00C56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F45"/>
    <w:pPr>
      <w:spacing w:before="0" w:after="0"/>
    </w:pPr>
  </w:style>
  <w:style w:type="paragraph" w:customStyle="1" w:styleId="BodyTextBold">
    <w:name w:val="Body Text Bold"/>
    <w:basedOn w:val="BodyText"/>
    <w:qFormat/>
    <w:rsid w:val="00C56F45"/>
    <w:rPr>
      <w:b/>
    </w:rPr>
  </w:style>
  <w:style w:type="character" w:styleId="Hyperlink">
    <w:name w:val="Hyperlink"/>
    <w:basedOn w:val="DefaultParagraphFont"/>
    <w:uiPriority w:val="99"/>
    <w:unhideWhenUsed/>
    <w:rsid w:val="00196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3588</Characters>
  <Application>Microsoft Office Word</Application>
  <DocSecurity>0</DocSecurity>
  <Lines>132</Lines>
  <Paragraphs>91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AMPX421 Establish sampling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