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26E" w:rsidP="002F7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AMPX411 Foster a learning culture in a meat enterprise</w:t>
      </w:r>
      <w:r>
        <w:fldChar w:fldCharType="end"/>
      </w:r>
    </w:p>
    <w:p w:rsidR="002F726E" w:rsidP="002F726E">
      <w:pPr>
        <w:pStyle w:val="Version"/>
        <w:sectPr w:rsidSect="00C21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07B" w:rsidP="00C2107B">
      <w:pPr>
        <w:pStyle w:val="SuperHeading"/>
      </w:pPr>
      <w:r w:rsidRPr="00C2107B">
        <w:t>AMPX411 Foster a learning culture in a meat enterprise</w:t>
      </w:r>
    </w:p>
    <w:p w:rsidR="00000000" w:rsidRPr="00C2107B" w:rsidP="00C2107B">
      <w:pPr>
        <w:pStyle w:val="Heading1"/>
      </w:pPr>
      <w:bookmarkStart w:id="1" w:name="O_736849"/>
      <w:bookmarkEnd w:id="1"/>
      <w:r w:rsidRPr="00C2107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2107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TableHeading"/>
              <w:rPr>
                <w:lang w:val="en-NZ"/>
              </w:rPr>
            </w:pPr>
            <w:r w:rsidRPr="00C2107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TableHeading"/>
              <w:rPr>
                <w:lang w:val="en-NZ"/>
              </w:rPr>
            </w:pPr>
            <w:r w:rsidRPr="00C2107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TableHeading"/>
              <w:rPr>
                <w:lang w:val="en-NZ"/>
              </w:rPr>
            </w:pPr>
            <w:r w:rsidRPr="00C2107B">
              <w:t>Comment</w:t>
            </w:r>
          </w:p>
        </w:tc>
      </w:tr>
      <w:tr w:rsidTr="00C2107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BodyText"/>
              <w:rPr>
                <w:lang w:val="en-NZ"/>
              </w:rPr>
            </w:pPr>
            <w:r w:rsidRPr="00C2107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BodyText"/>
              <w:rPr>
                <w:lang w:val="en-NZ"/>
              </w:rPr>
            </w:pPr>
            <w:r w:rsidRPr="00C2107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07B" w:rsidP="00C2107B">
            <w:pPr>
              <w:pStyle w:val="BodyText"/>
            </w:pPr>
            <w:r w:rsidRPr="00C2107B">
              <w:t>Initial release</w:t>
            </w:r>
          </w:p>
        </w:tc>
      </w:tr>
    </w:tbl>
    <w:p w:rsidR="00000000" w:rsidRPr="00C2107B" w:rsidP="00C2107B">
      <w:pPr>
        <w:pStyle w:val="BodyText"/>
      </w:pPr>
    </w:p>
    <w:p w:rsidR="00000000" w:rsidRPr="00C2107B" w:rsidP="00C2107B">
      <w:pPr>
        <w:pStyle w:val="AllowPageBreak"/>
      </w:pPr>
    </w:p>
    <w:p w:rsidR="00000000" w:rsidRPr="00C2107B" w:rsidP="00C2107B">
      <w:pPr>
        <w:pStyle w:val="Heading1"/>
      </w:pPr>
      <w:bookmarkStart w:id="2" w:name="O_736850"/>
      <w:bookmarkEnd w:id="2"/>
      <w:r w:rsidRPr="00C2107B">
        <w:t>Application</w:t>
      </w:r>
    </w:p>
    <w:p w:rsidR="00000000" w:rsidRPr="00C2107B" w:rsidP="002F726E">
      <w:pPr>
        <w:pStyle w:val="BodyText"/>
      </w:pPr>
      <w:r w:rsidRPr="00C2107B">
        <w:t>This unit describes the skills and knowledge required to integrate work and learning in a meat enterprise. This unit does not provide workplace trainer skills, but does describe the skills and knowledge required for people in leadership positions to monito</w:t>
      </w:r>
      <w:r w:rsidRPr="00C2107B">
        <w:t>r and facilitate workplace training and learning.</w:t>
      </w:r>
    </w:p>
    <w:p w:rsidR="00000000" w:rsidRPr="00C2107B" w:rsidP="002F726E">
      <w:pPr>
        <w:pStyle w:val="BodyText"/>
      </w:pPr>
      <w:r w:rsidRPr="00C2107B">
        <w:t>In the meat industry, workplace learning adds to performance and the competitive advantage of the business. The commitment of personnel in leadership roles to training and learning is essential.</w:t>
      </w:r>
    </w:p>
    <w:p w:rsidR="00000000" w:rsidRPr="00C2107B" w:rsidP="002F726E">
      <w:pPr>
        <w:pStyle w:val="BodyText"/>
      </w:pPr>
      <w:r w:rsidRPr="00C2107B">
        <w:t>This unit</w:t>
      </w:r>
      <w:r w:rsidRPr="00C2107B">
        <w:t xml:space="preserve"> applies to individuals who take responsibility for their own work and for the quality of others’ work within known parameters. They provide and communicate solutions to a range of predictable and sometimes unpredictable problems.</w:t>
      </w:r>
    </w:p>
    <w:p w:rsidR="00000000" w:rsidRPr="00C2107B" w:rsidP="002F726E">
      <w:pPr>
        <w:pStyle w:val="BodyText"/>
      </w:pPr>
      <w:r w:rsidRPr="00C2107B">
        <w:t>This unit must be delive</w:t>
      </w:r>
      <w:r w:rsidRPr="00C2107B">
        <w:t>red and assessed in the context of Australian meat industry standards and regulations.</w:t>
      </w:r>
    </w:p>
    <w:p w:rsidR="00000000" w:rsidRPr="00C2107B" w:rsidP="002F726E">
      <w:pPr>
        <w:pStyle w:val="BodyText"/>
      </w:pPr>
      <w:r w:rsidRPr="00C2107B">
        <w:t>No occupational licensing, legislative or certification requirements are known to apply to this unit at the time of publication.</w:t>
      </w:r>
    </w:p>
    <w:p w:rsidR="00000000" w:rsidRPr="00C2107B" w:rsidP="00C2107B">
      <w:pPr>
        <w:pStyle w:val="Heading1"/>
      </w:pPr>
      <w:bookmarkStart w:id="3" w:name="O_736851"/>
      <w:bookmarkEnd w:id="3"/>
      <w:r w:rsidRPr="00C2107B">
        <w:t>Pre-requisite Unit</w:t>
      </w:r>
    </w:p>
    <w:p w:rsidR="00000000" w:rsidRPr="00C2107B" w:rsidP="002F726E">
      <w:pPr>
        <w:pStyle w:val="BodyText"/>
      </w:pPr>
      <w:r w:rsidRPr="00C2107B">
        <w:t>Nil</w:t>
      </w:r>
      <w:r w:rsidRPr="00C2107B">
        <w:t>.</w:t>
      </w:r>
    </w:p>
    <w:p w:rsidR="00000000" w:rsidRPr="00C2107B" w:rsidP="00C2107B">
      <w:pPr>
        <w:pStyle w:val="Heading1"/>
      </w:pPr>
      <w:bookmarkStart w:id="4" w:name="O_736853"/>
      <w:bookmarkEnd w:id="4"/>
      <w:r w:rsidRPr="00C2107B">
        <w:t>Unit Sector</w:t>
      </w:r>
    </w:p>
    <w:p w:rsidR="00000000" w:rsidRPr="00C2107B" w:rsidP="00C2107B">
      <w:pPr>
        <w:pStyle w:val="Heading1"/>
      </w:pPr>
      <w:bookmarkStart w:id="5" w:name="O_736854"/>
      <w:bookmarkEnd w:id="5"/>
      <w:r w:rsidRPr="00C2107B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2F726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TableHeading"/>
              <w:rPr>
                <w:lang w:val="en-NZ"/>
              </w:rPr>
            </w:pPr>
            <w:r w:rsidRPr="00C2107B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TableHeading"/>
              <w:rPr>
                <w:lang w:val="en-NZ"/>
              </w:rPr>
            </w:pPr>
            <w:r w:rsidRPr="00C2107B">
              <w:t>Performance criteria</w:t>
            </w:r>
          </w:p>
        </w:tc>
      </w:tr>
      <w:tr w:rsidTr="002F726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BodyText"/>
              <w:rPr>
                <w:lang w:val="en-NZ"/>
              </w:rPr>
            </w:pPr>
            <w:r w:rsidRPr="00C2107B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BodyText"/>
              <w:rPr>
                <w:lang w:val="en-NZ"/>
              </w:rPr>
            </w:pPr>
            <w:r w:rsidRPr="00C2107B">
              <w:t>Performance criteria describe the performance needed to demonstrate achievement of the element.</w:t>
            </w:r>
          </w:p>
        </w:tc>
      </w:tr>
      <w:tr w:rsidTr="002F726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List"/>
              <w:rPr>
                <w:lang w:val="en-NZ"/>
              </w:rPr>
            </w:pPr>
            <w:r w:rsidRPr="00C2107B">
              <w:t>1.</w:t>
            </w:r>
            <w:r w:rsidRPr="00C2107B">
              <w:tab/>
            </w:r>
            <w:r w:rsidRPr="00C2107B">
              <w:t>Develop a learning culture in the enterprise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07B" w:rsidP="00C2107B">
            <w:pPr>
              <w:pStyle w:val="List"/>
            </w:pPr>
            <w:r w:rsidRPr="00C2107B">
              <w:t>1.1</w:t>
            </w:r>
            <w:r w:rsidRPr="00C2107B">
              <w:tab/>
              <w:t>Demonstrate a commitment to, and value of learning through own personal performance</w:t>
            </w:r>
          </w:p>
          <w:p w:rsidR="00000000" w:rsidRPr="00C2107B" w:rsidP="00C2107B">
            <w:pPr>
              <w:pStyle w:val="List"/>
            </w:pPr>
            <w:r w:rsidRPr="00C2107B">
              <w:t>1.2</w:t>
            </w:r>
            <w:r w:rsidRPr="00C2107B">
              <w:tab/>
              <w:t>Include learning and training strategies as an integral part of work and performance plans</w:t>
            </w:r>
          </w:p>
          <w:p w:rsidR="00000000" w:rsidRPr="00C2107B" w:rsidP="00C2107B">
            <w:pPr>
              <w:pStyle w:val="List"/>
            </w:pPr>
            <w:r w:rsidRPr="00C2107B">
              <w:t>1.3</w:t>
            </w:r>
            <w:r w:rsidRPr="00C2107B">
              <w:tab/>
              <w:t>Reflect diversity of nee</w:t>
            </w:r>
            <w:r w:rsidRPr="00C2107B">
              <w:t>ds and opportunities in learning and training strategies and plans</w:t>
            </w:r>
          </w:p>
          <w:p w:rsidR="00000000" w:rsidRPr="00C2107B" w:rsidP="00C2107B">
            <w:pPr>
              <w:pStyle w:val="List"/>
            </w:pPr>
            <w:r w:rsidRPr="00C2107B">
              <w:t>1.4</w:t>
            </w:r>
            <w:r w:rsidRPr="00C2107B">
              <w:tab/>
              <w:t>Prepare and recommend resource proposals to support workplace learning</w:t>
            </w:r>
          </w:p>
          <w:p w:rsidR="00000000" w:rsidP="00C2107B">
            <w:pPr>
              <w:pStyle w:val="List"/>
              <w:rPr>
                <w:lang w:val="en-NZ"/>
              </w:rPr>
            </w:pPr>
            <w:r w:rsidRPr="00C2107B">
              <w:t>1.5</w:t>
            </w:r>
            <w:r w:rsidRPr="00C2107B">
              <w:tab/>
              <w:t>Ensure consultation and negotiation with training and development professionals results in the planning and pr</w:t>
            </w:r>
            <w:r w:rsidRPr="00C2107B">
              <w:t>ovision of learning which enhances individual, team and organisational performance</w:t>
            </w:r>
          </w:p>
        </w:tc>
      </w:tr>
      <w:tr w:rsidTr="002F726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List"/>
              <w:rPr>
                <w:lang w:val="en-NZ"/>
              </w:rPr>
            </w:pPr>
            <w:r w:rsidRPr="00C2107B">
              <w:t>2.</w:t>
            </w:r>
            <w:r w:rsidRPr="00C2107B">
              <w:tab/>
              <w:t>Create learning opportunities to develop individual, team and organisational performance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07B" w:rsidP="00C2107B">
            <w:pPr>
              <w:pStyle w:val="List"/>
            </w:pPr>
            <w:r w:rsidRPr="00C2107B">
              <w:t>2.1</w:t>
            </w:r>
            <w:r w:rsidRPr="00C2107B">
              <w:tab/>
            </w:r>
            <w:r w:rsidRPr="00C2107B">
              <w:t>Develop and support workplace environments and contexts which facilitate learning</w:t>
            </w:r>
          </w:p>
          <w:p w:rsidR="00000000" w:rsidRPr="00C2107B" w:rsidP="00C2107B">
            <w:pPr>
              <w:pStyle w:val="List"/>
            </w:pPr>
            <w:r w:rsidRPr="00C2107B">
              <w:t>2.2</w:t>
            </w:r>
            <w:r w:rsidRPr="00C2107B">
              <w:tab/>
              <w:t>Identify and promote external and internal opportunities for learning</w:t>
            </w:r>
          </w:p>
          <w:p w:rsidR="00000000" w:rsidRPr="00C2107B" w:rsidP="00C2107B">
            <w:pPr>
              <w:pStyle w:val="List"/>
            </w:pPr>
            <w:r w:rsidRPr="00C2107B">
              <w:t>2.3</w:t>
            </w:r>
            <w:r w:rsidRPr="00C2107B">
              <w:tab/>
              <w:t>Collaboratively develop learning plans to meet individual, team and organisational goals</w:t>
            </w:r>
          </w:p>
          <w:p w:rsidR="00000000" w:rsidRPr="00C2107B" w:rsidP="00C2107B">
            <w:pPr>
              <w:pStyle w:val="List"/>
            </w:pPr>
            <w:r w:rsidRPr="00C2107B">
              <w:t>2.4</w:t>
            </w:r>
            <w:r w:rsidRPr="00C2107B">
              <w:tab/>
              <w:t>Fac</w:t>
            </w:r>
            <w:r w:rsidRPr="00C2107B">
              <w:t>ilitate individual and team access to, and participation in, learning opportunities</w:t>
            </w:r>
          </w:p>
          <w:p w:rsidR="00000000" w:rsidP="00C2107B">
            <w:pPr>
              <w:pStyle w:val="List"/>
              <w:rPr>
                <w:lang w:val="en-NZ"/>
              </w:rPr>
            </w:pPr>
            <w:r w:rsidRPr="00C2107B">
              <w:t>2.5</w:t>
            </w:r>
            <w:r w:rsidRPr="00C2107B">
              <w:tab/>
              <w:t>Plan and provide individual and team learning and training in consultation with learners and training specialists, where appropriate</w:t>
            </w:r>
          </w:p>
        </w:tc>
      </w:tr>
      <w:tr w:rsidTr="002F726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List"/>
              <w:rPr>
                <w:lang w:val="en-NZ"/>
              </w:rPr>
            </w:pPr>
            <w:r w:rsidRPr="00C2107B">
              <w:t>3.</w:t>
            </w:r>
            <w:r w:rsidRPr="00C2107B">
              <w:tab/>
              <w:t>Facilitate and promote learning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07B" w:rsidP="00C2107B">
            <w:pPr>
              <w:pStyle w:val="List"/>
            </w:pPr>
            <w:r w:rsidRPr="00C2107B">
              <w:t>3.1</w:t>
            </w:r>
            <w:r w:rsidRPr="00C2107B">
              <w:tab/>
              <w:t>Use workplace activities as opportunities for learning</w:t>
            </w:r>
          </w:p>
          <w:p w:rsidR="00000000" w:rsidRPr="00C2107B" w:rsidP="00C2107B">
            <w:pPr>
              <w:pStyle w:val="List"/>
            </w:pPr>
            <w:r w:rsidRPr="00C2107B">
              <w:t>3.2</w:t>
            </w:r>
            <w:r w:rsidRPr="00C2107B">
              <w:tab/>
              <w:t>Encourage personnel to take advantage of learning opportunities</w:t>
            </w:r>
          </w:p>
          <w:p w:rsidR="00000000" w:rsidRPr="00C2107B" w:rsidP="00C2107B">
            <w:pPr>
              <w:pStyle w:val="List"/>
            </w:pPr>
            <w:r w:rsidRPr="00C2107B">
              <w:t>3.3</w:t>
            </w:r>
            <w:r w:rsidRPr="00C2107B">
              <w:tab/>
              <w:t>Ensure coaching and mentoring contributes effectively to development of workplace knowledge, skills and attitudes</w:t>
            </w:r>
          </w:p>
          <w:p w:rsidR="00000000" w:rsidRPr="00C2107B" w:rsidP="00C2107B">
            <w:pPr>
              <w:pStyle w:val="List"/>
            </w:pPr>
            <w:r w:rsidRPr="00C2107B">
              <w:t>3.4</w:t>
            </w:r>
            <w:r w:rsidRPr="00C2107B">
              <w:tab/>
              <w:t xml:space="preserve">Share </w:t>
            </w:r>
            <w:r w:rsidRPr="00C2107B">
              <w:t>benefits of learning with others in team and organisation</w:t>
            </w:r>
          </w:p>
          <w:p w:rsidR="00000000" w:rsidRPr="00C2107B" w:rsidP="00C2107B">
            <w:pPr>
              <w:pStyle w:val="List"/>
            </w:pPr>
            <w:r w:rsidRPr="00C2107B">
              <w:t>3.5</w:t>
            </w:r>
            <w:r w:rsidRPr="00C2107B">
              <w:tab/>
              <w:t>Provide opportunities for learners to continue utilising and extending new skills and knowledge</w:t>
            </w:r>
          </w:p>
          <w:p w:rsidR="00000000" w:rsidP="00C2107B">
            <w:pPr>
              <w:pStyle w:val="List"/>
              <w:rPr>
                <w:lang w:val="en-NZ"/>
              </w:rPr>
            </w:pPr>
            <w:r w:rsidRPr="00C2107B">
              <w:t>3.6</w:t>
            </w:r>
            <w:r w:rsidRPr="00C2107B">
              <w:tab/>
              <w:t>Recognise workplace achievement through timely and appropriate recognition, feedback and rewar</w:t>
            </w:r>
            <w:r w:rsidRPr="00C2107B">
              <w:t>ds</w:t>
            </w:r>
          </w:p>
        </w:tc>
      </w:tr>
      <w:tr w:rsidTr="002F726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List"/>
              <w:rPr>
                <w:lang w:val="en-NZ"/>
              </w:rPr>
            </w:pPr>
            <w:r w:rsidRPr="00C2107B">
              <w:t>4.</w:t>
            </w:r>
            <w:r w:rsidRPr="00C2107B">
              <w:tab/>
              <w:t>Monitor and improve learning effectiveness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07B" w:rsidP="00C2107B">
            <w:pPr>
              <w:pStyle w:val="List"/>
            </w:pPr>
            <w:r w:rsidRPr="00C2107B">
              <w:t>4.1</w:t>
            </w:r>
            <w:r w:rsidRPr="00C2107B">
              <w:tab/>
              <w:t>Monitor individual and team performance to determine the type and extent of required additional work-based support</w:t>
            </w:r>
          </w:p>
          <w:p w:rsidR="00000000" w:rsidRPr="00C2107B" w:rsidP="00C2107B">
            <w:pPr>
              <w:pStyle w:val="List"/>
            </w:pPr>
            <w:r w:rsidRPr="00C2107B">
              <w:t>4.2</w:t>
            </w:r>
            <w:r w:rsidRPr="00C2107B">
              <w:tab/>
              <w:t>Use feedback from individuals and teams to make improvements to future learning arr</w:t>
            </w:r>
            <w:r w:rsidRPr="00C2107B">
              <w:t>angements</w:t>
            </w:r>
          </w:p>
          <w:p w:rsidR="00000000" w:rsidRPr="00C2107B" w:rsidP="00C2107B">
            <w:pPr>
              <w:pStyle w:val="List"/>
            </w:pPr>
            <w:r w:rsidRPr="00C2107B">
              <w:t>4.3</w:t>
            </w:r>
            <w:r w:rsidRPr="00C2107B">
              <w:tab/>
              <w:t>Monitor effectiveness and efficiency of learning and training programs and prepare recommendations for improvement</w:t>
            </w:r>
          </w:p>
          <w:p w:rsidR="00000000" w:rsidRPr="00C2107B" w:rsidP="00C2107B">
            <w:pPr>
              <w:pStyle w:val="List"/>
            </w:pPr>
            <w:r w:rsidRPr="00C2107B">
              <w:t>4.4</w:t>
            </w:r>
            <w:r w:rsidRPr="00C2107B">
              <w:tab/>
              <w:t>Negotiate adjustments to learning plans and activities with training and development personnel to achieve improvements to l</w:t>
            </w:r>
            <w:r w:rsidRPr="00C2107B">
              <w:t>earning effectiveness</w:t>
            </w:r>
          </w:p>
          <w:p w:rsidR="00000000" w:rsidRPr="00C2107B" w:rsidP="00C2107B">
            <w:pPr>
              <w:pStyle w:val="List"/>
            </w:pPr>
            <w:r w:rsidRPr="00C2107B">
              <w:t>4.5</w:t>
            </w:r>
            <w:r w:rsidRPr="00C2107B">
              <w:tab/>
              <w:t>Document and maintain learning plans, records and reports of competency in accordance with organisation systems and procedures</w:t>
            </w:r>
          </w:p>
        </w:tc>
      </w:tr>
    </w:tbl>
    <w:p w:rsidR="00000000" w:rsidRPr="00C2107B" w:rsidP="00C2107B">
      <w:pPr>
        <w:pStyle w:val="BodyText"/>
      </w:pPr>
    </w:p>
    <w:p w:rsidR="00000000" w:rsidRPr="00C2107B" w:rsidP="00C2107B">
      <w:pPr>
        <w:pStyle w:val="AllowPageBreak"/>
      </w:pPr>
    </w:p>
    <w:p w:rsidR="00000000" w:rsidRPr="00C2107B" w:rsidP="00C2107B">
      <w:pPr>
        <w:pStyle w:val="Heading1"/>
      </w:pPr>
      <w:bookmarkStart w:id="6" w:name="O_736855"/>
      <w:bookmarkEnd w:id="6"/>
      <w:r w:rsidRPr="00C2107B">
        <w:t>Foundation Skills</w:t>
      </w:r>
    </w:p>
    <w:p w:rsidR="00000000" w:rsidRPr="00C2107B" w:rsidP="002F726E">
      <w:pPr>
        <w:pStyle w:val="BodyText"/>
      </w:pPr>
      <w:r w:rsidRPr="00C2107B">
        <w:t>Foundation Skills essential to performance are explicit in the performance criteria of this unit of competency.</w:t>
      </w:r>
    </w:p>
    <w:p w:rsidR="00000000" w:rsidRPr="00C2107B" w:rsidP="00C2107B">
      <w:pPr>
        <w:pStyle w:val="Heading1"/>
      </w:pPr>
      <w:bookmarkStart w:id="7" w:name="O_736856"/>
      <w:bookmarkEnd w:id="7"/>
      <w:r w:rsidRPr="00C2107B">
        <w:t>Range of Conditions</w:t>
      </w:r>
    </w:p>
    <w:p w:rsidR="00000000" w:rsidRPr="00C2107B" w:rsidP="00C2107B">
      <w:pPr>
        <w:pStyle w:val="Heading1"/>
      </w:pPr>
      <w:bookmarkStart w:id="8" w:name="O_736857"/>
      <w:bookmarkEnd w:id="8"/>
      <w:r w:rsidRPr="00C210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2F7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7B">
            <w:pPr>
              <w:pStyle w:val="TableBodyText"/>
              <w:rPr>
                <w:lang w:val="en-NZ"/>
              </w:rPr>
            </w:pPr>
            <w:r w:rsidRPr="00C2107B">
              <w:t>MTMPSR404C Foster a learning culture in a meat enterprise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07B" w:rsidP="00C2107B">
            <w:pPr>
              <w:pStyle w:val="TableBodyText"/>
            </w:pPr>
            <w:r w:rsidRPr="00C2107B">
              <w:t>E</w:t>
            </w:r>
          </w:p>
        </w:tc>
      </w:tr>
    </w:tbl>
    <w:p w:rsidR="002F726E" w:rsidP="00C2107B">
      <w:pPr>
        <w:pStyle w:val="TableBodyText"/>
      </w:pPr>
    </w:p>
    <w:p w:rsidR="002F726E" w:rsidP="00C2107B">
      <w:pPr>
        <w:pStyle w:val="TableBodyText"/>
      </w:pPr>
    </w:p>
    <w:p w:rsidR="00000000" w:rsidRPr="00C2107B" w:rsidP="00C2107B">
      <w:pPr>
        <w:pStyle w:val="Heading1"/>
      </w:pPr>
      <w:bookmarkStart w:id="9" w:name="O_736864"/>
      <w:bookmarkEnd w:id="9"/>
      <w:r w:rsidRPr="00C2107B">
        <w:t>Links</w:t>
      </w:r>
    </w:p>
    <w:p w:rsidR="00000000" w:rsidRPr="00C2107B" w:rsidP="002F726E">
      <w:pPr>
        <w:pStyle w:val="BodyText"/>
      </w:pPr>
      <w:r w:rsidRPr="00C210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07F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107B" w:rsidP="00C2107B"/>
    <w:sectPr w:rsidSect="00C210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7B" w:rsidRPr="002F726E" w:rsidP="002F7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6E" w:rsidP="00C21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26E" w:rsidP="00C21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726E" w:rsidP="00C21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07B" w:rsidRPr="002F726E" w:rsidP="002F7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6E" w:rsidRPr="002D2AF8" w:rsidP="00C21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AMPX411 Foster a learning culture in a meat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F726E" w:rsidP="00C21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07B"/>
  </w:style>
  <w:style w:type="character" w:customStyle="1" w:styleId="Heading1Char">
    <w:name w:val="Heading 1 Char"/>
    <w:basedOn w:val="DefaultParagraphFont"/>
    <w:link w:val="Heading1"/>
    <w:rsid w:val="00C21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0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107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21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10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1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2107B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C21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07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210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1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07B"/>
    <w:rPr>
      <w:b/>
      <w:spacing w:val="0"/>
    </w:rPr>
  </w:style>
  <w:style w:type="paragraph" w:customStyle="1" w:styleId="SuperTitle">
    <w:name w:val="SuperTitle"/>
    <w:basedOn w:val="Title"/>
    <w:rsid w:val="00C21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0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0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07B"/>
    <w:rPr>
      <w:i/>
    </w:rPr>
  </w:style>
  <w:style w:type="paragraph" w:styleId="Caption">
    <w:name w:val="caption"/>
    <w:basedOn w:val="BodyText"/>
    <w:next w:val="Normal"/>
    <w:qFormat/>
    <w:rsid w:val="00C21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07B"/>
  </w:style>
  <w:style w:type="paragraph" w:styleId="TableofFigures">
    <w:name w:val="table of figures"/>
    <w:basedOn w:val="Normal"/>
    <w:next w:val="Normal"/>
    <w:semiHidden/>
    <w:rsid w:val="00C21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0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107B"/>
    <w:rPr>
      <w:rFonts w:ascii="Wingdings" w:hAnsi="Wingdings"/>
    </w:rPr>
  </w:style>
  <w:style w:type="character" w:customStyle="1" w:styleId="HotSpot">
    <w:name w:val="HotSpot"/>
    <w:rsid w:val="00C2107B"/>
    <w:rPr>
      <w:color w:val="0033CC"/>
      <w:u w:val="none"/>
    </w:rPr>
  </w:style>
  <w:style w:type="paragraph" w:customStyle="1" w:styleId="BodyTextRight">
    <w:name w:val="Body Text Right"/>
    <w:basedOn w:val="BodyText"/>
    <w:rsid w:val="00C21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0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07B"/>
    <w:rPr>
      <w:sz w:val="32"/>
    </w:rPr>
  </w:style>
  <w:style w:type="paragraph" w:customStyle="1" w:styleId="HeadingProcedure">
    <w:name w:val="Heading Procedure"/>
    <w:basedOn w:val="HeadingBase"/>
    <w:next w:val="Normal"/>
    <w:rsid w:val="00C21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2107B"/>
    <w:pPr>
      <w:ind w:firstLine="0"/>
    </w:pPr>
  </w:style>
  <w:style w:type="paragraph" w:customStyle="1" w:styleId="ListNote">
    <w:name w:val="List Note"/>
    <w:basedOn w:val="List"/>
    <w:rsid w:val="00C21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07B"/>
    <w:rPr>
      <w:rFonts w:ascii="Courier New" w:hAnsi="Courier New"/>
    </w:rPr>
  </w:style>
  <w:style w:type="paragraph" w:customStyle="1" w:styleId="NoteBullet">
    <w:name w:val="Note Bullet"/>
    <w:basedOn w:val="Note"/>
    <w:rsid w:val="00C21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0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1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07B"/>
    <w:rPr>
      <w:b/>
      <w:smallCaps/>
    </w:rPr>
  </w:style>
  <w:style w:type="paragraph" w:customStyle="1" w:styleId="TableListNumber">
    <w:name w:val="Table List Number"/>
    <w:basedOn w:val="ListNumber"/>
    <w:rsid w:val="00C21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07B"/>
    <w:pPr>
      <w:numPr>
        <w:numId w:val="7"/>
      </w:numPr>
    </w:pPr>
  </w:style>
  <w:style w:type="paragraph" w:customStyle="1" w:styleId="ListAlpha2">
    <w:name w:val="List Alpha 2"/>
    <w:basedOn w:val="List2"/>
    <w:rsid w:val="00C2107B"/>
    <w:pPr>
      <w:numPr>
        <w:numId w:val="6"/>
      </w:numPr>
    </w:pPr>
  </w:style>
  <w:style w:type="paragraph" w:styleId="List2">
    <w:name w:val="List 2"/>
    <w:basedOn w:val="BodyText"/>
    <w:rsid w:val="00C21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0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0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107B"/>
    <w:pPr>
      <w:numPr>
        <w:numId w:val="2"/>
      </w:numPr>
    </w:pPr>
  </w:style>
  <w:style w:type="paragraph" w:styleId="ListContinue2">
    <w:name w:val="List Continue 2"/>
    <w:basedOn w:val="List2"/>
    <w:rsid w:val="00C2107B"/>
    <w:pPr>
      <w:ind w:firstLine="0"/>
    </w:pPr>
  </w:style>
  <w:style w:type="paragraph" w:styleId="ListContinue3">
    <w:name w:val="List Continue 3"/>
    <w:basedOn w:val="List3"/>
    <w:rsid w:val="00C2107B"/>
    <w:pPr>
      <w:ind w:left="1021" w:firstLine="0"/>
    </w:pPr>
  </w:style>
  <w:style w:type="paragraph" w:styleId="ListContinue4">
    <w:name w:val="List Continue 4"/>
    <w:basedOn w:val="List4"/>
    <w:rsid w:val="00C2107B"/>
    <w:pPr>
      <w:ind w:firstLine="0"/>
    </w:pPr>
  </w:style>
  <w:style w:type="paragraph" w:styleId="ListContinue5">
    <w:name w:val="List Continue 5"/>
    <w:basedOn w:val="List5"/>
    <w:rsid w:val="00C2107B"/>
    <w:pPr>
      <w:ind w:firstLine="0"/>
    </w:pPr>
  </w:style>
  <w:style w:type="paragraph" w:styleId="ListNumber3">
    <w:name w:val="List Number 3"/>
    <w:basedOn w:val="List3"/>
    <w:rsid w:val="00C2107B"/>
    <w:pPr>
      <w:numPr>
        <w:numId w:val="3"/>
      </w:numPr>
    </w:pPr>
  </w:style>
  <w:style w:type="paragraph" w:styleId="ListNumber4">
    <w:name w:val="List Number 4"/>
    <w:basedOn w:val="List4"/>
    <w:rsid w:val="00C2107B"/>
    <w:pPr>
      <w:numPr>
        <w:numId w:val="4"/>
      </w:numPr>
    </w:pPr>
  </w:style>
  <w:style w:type="paragraph" w:styleId="ListNumber5">
    <w:name w:val="List Number 5"/>
    <w:basedOn w:val="List5"/>
    <w:rsid w:val="00C2107B"/>
    <w:pPr>
      <w:numPr>
        <w:numId w:val="5"/>
      </w:numPr>
    </w:pPr>
  </w:style>
  <w:style w:type="paragraph" w:styleId="BlockText">
    <w:name w:val="Block Text"/>
    <w:basedOn w:val="Normal"/>
    <w:rsid w:val="00C21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07B"/>
    <w:rPr>
      <w:sz w:val="16"/>
      <w:vertAlign w:val="superscript"/>
    </w:rPr>
  </w:style>
  <w:style w:type="character" w:customStyle="1" w:styleId="Symbols">
    <w:name w:val="Symbols"/>
    <w:basedOn w:val="DefaultParagraphFont"/>
    <w:rsid w:val="00C2107B"/>
    <w:rPr>
      <w:rFonts w:ascii="Symbol" w:hAnsi="Symbol"/>
    </w:rPr>
  </w:style>
  <w:style w:type="character" w:customStyle="1" w:styleId="MenuOptions">
    <w:name w:val="Menu Options"/>
    <w:basedOn w:val="DefaultParagraphFont"/>
    <w:rsid w:val="00C21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07B"/>
    <w:rPr>
      <w:b/>
    </w:rPr>
  </w:style>
  <w:style w:type="character" w:customStyle="1" w:styleId="Underlined">
    <w:name w:val="Underlined"/>
    <w:basedOn w:val="DefaultParagraphFont"/>
    <w:rsid w:val="00C2107B"/>
    <w:rPr>
      <w:u w:val="single"/>
    </w:rPr>
  </w:style>
  <w:style w:type="paragraph" w:customStyle="1" w:styleId="TableBodyTextRight">
    <w:name w:val="Table Body Text Right"/>
    <w:basedOn w:val="TableBodyText"/>
    <w:rsid w:val="00C21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07B"/>
    <w:rPr>
      <w:sz w:val="18"/>
    </w:rPr>
  </w:style>
  <w:style w:type="paragraph" w:customStyle="1" w:styleId="BodySmallRight">
    <w:name w:val="Body Small Right"/>
    <w:basedOn w:val="BodyTextRight"/>
    <w:rsid w:val="00C2107B"/>
    <w:rPr>
      <w:sz w:val="18"/>
      <w:szCs w:val="18"/>
    </w:rPr>
  </w:style>
  <w:style w:type="paragraph" w:customStyle="1" w:styleId="MarginEdition">
    <w:name w:val="Margin Edition"/>
    <w:basedOn w:val="MarginNote"/>
    <w:rsid w:val="00C21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07B"/>
    <w:rPr>
      <w:sz w:val="2"/>
      <w:szCs w:val="2"/>
    </w:rPr>
  </w:style>
  <w:style w:type="character" w:customStyle="1" w:styleId="Small">
    <w:name w:val="Small"/>
    <w:basedOn w:val="DefaultParagraphFont"/>
    <w:rsid w:val="00C2107B"/>
    <w:rPr>
      <w:sz w:val="16"/>
    </w:rPr>
  </w:style>
  <w:style w:type="paragraph" w:customStyle="1" w:styleId="WideTable">
    <w:name w:val="Wide Table"/>
    <w:basedOn w:val="Normal"/>
    <w:rsid w:val="00C21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07B"/>
  </w:style>
  <w:style w:type="paragraph" w:styleId="Quote">
    <w:name w:val="Quote"/>
    <w:basedOn w:val="Heading1"/>
    <w:link w:val="QuoteChar"/>
    <w:qFormat/>
    <w:rsid w:val="00C21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07B"/>
    <w:pPr>
      <w:pageBreakBefore/>
    </w:pPr>
  </w:style>
  <w:style w:type="paragraph" w:customStyle="1" w:styleId="Border">
    <w:name w:val="Border"/>
    <w:basedOn w:val="Normal"/>
    <w:qFormat/>
    <w:rsid w:val="00C21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07B"/>
    <w:rPr>
      <w:u w:val="single"/>
    </w:rPr>
  </w:style>
  <w:style w:type="character" w:customStyle="1" w:styleId="BoldandItalics">
    <w:name w:val="Bold and Italics"/>
    <w:qFormat/>
    <w:rsid w:val="00C2107B"/>
    <w:rPr>
      <w:b/>
      <w:i/>
      <w:u w:val="none"/>
    </w:rPr>
  </w:style>
  <w:style w:type="paragraph" w:styleId="BalloonText">
    <w:name w:val="Balloon Text"/>
    <w:basedOn w:val="Normal"/>
    <w:link w:val="BalloonTextChar"/>
    <w:rsid w:val="00C21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07B"/>
    <w:pPr>
      <w:spacing w:before="0" w:after="0"/>
    </w:pPr>
  </w:style>
  <w:style w:type="paragraph" w:customStyle="1" w:styleId="BodyTextBold">
    <w:name w:val="Body Text Bold"/>
    <w:basedOn w:val="BodyText"/>
    <w:qFormat/>
    <w:rsid w:val="00C2107B"/>
    <w:rPr>
      <w:b/>
    </w:rPr>
  </w:style>
  <w:style w:type="character" w:styleId="Hyperlink">
    <w:name w:val="Hyperlink"/>
    <w:basedOn w:val="DefaultParagraphFont"/>
    <w:uiPriority w:val="99"/>
    <w:unhideWhenUsed/>
    <w:rsid w:val="002F72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3779</Characters>
  <Application>Microsoft Office Word</Application>
  <DocSecurity>0</DocSecurity>
  <Lines>125</Lines>
  <Paragraphs>68</Paragraphs>
  <ScaleCrop>false</ScaleCrop>
  <Company>Author-it Software Corporation Ltd.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AMPX411 Foster a learning culture in a meat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