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3FA5" w:rsidP="00533FA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AMPX316 Monitor product to be sent to rendering</w:t>
      </w:r>
      <w:r>
        <w:fldChar w:fldCharType="end"/>
      </w:r>
    </w:p>
    <w:p w:rsidR="00533FA5" w:rsidP="00533FA5">
      <w:pPr>
        <w:pStyle w:val="Version"/>
        <w:sectPr w:rsidSect="00E520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5201F" w:rsidP="00E5201F">
      <w:pPr>
        <w:pStyle w:val="SuperHeading"/>
      </w:pPr>
      <w:r w:rsidRPr="00E5201F">
        <w:t>AMPX316 Monitor product to be sent to rendering</w:t>
      </w:r>
    </w:p>
    <w:p w:rsidR="00000000" w:rsidRPr="00E5201F" w:rsidP="00E5201F">
      <w:pPr>
        <w:pStyle w:val="Heading1"/>
      </w:pPr>
      <w:bookmarkStart w:id="1" w:name="O_1142396"/>
      <w:bookmarkEnd w:id="1"/>
      <w:r w:rsidRPr="00E5201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520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01F">
            <w:pPr>
              <w:pStyle w:val="BodyTextBold"/>
              <w:rPr>
                <w:lang w:val="en-NZ"/>
              </w:rPr>
            </w:pPr>
            <w:r w:rsidRPr="00E5201F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01F">
            <w:pPr>
              <w:pStyle w:val="BodyTextBold"/>
              <w:rPr>
                <w:lang w:val="en-NZ"/>
              </w:rPr>
            </w:pPr>
            <w:r w:rsidRPr="00E5201F">
              <w:t>Comments</w:t>
            </w:r>
          </w:p>
        </w:tc>
      </w:tr>
      <w:tr w:rsidTr="00E520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01F">
            <w:pPr>
              <w:pStyle w:val="BodyText"/>
              <w:rPr>
                <w:lang w:val="en-NZ"/>
              </w:rPr>
            </w:pPr>
            <w:r w:rsidRPr="00E5201F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01F" w:rsidP="00E5201F">
            <w:pPr>
              <w:pStyle w:val="BodyText"/>
            </w:pPr>
            <w:r w:rsidRPr="00E5201F">
              <w:t>This version released with AMP Australian Meat Processing Training Package Version 5.0.</w:t>
            </w:r>
          </w:p>
        </w:tc>
      </w:tr>
    </w:tbl>
    <w:p w:rsidR="00000000" w:rsidRPr="00E5201F" w:rsidP="00E5201F">
      <w:pPr>
        <w:pStyle w:val="BodyText"/>
      </w:pPr>
    </w:p>
    <w:p w:rsidR="00000000" w:rsidRPr="00E5201F" w:rsidP="00E5201F">
      <w:pPr>
        <w:pStyle w:val="AllowPageBreak"/>
      </w:pPr>
    </w:p>
    <w:p w:rsidR="00000000" w:rsidRPr="00E5201F" w:rsidP="00E5201F">
      <w:pPr>
        <w:pStyle w:val="Heading1"/>
      </w:pPr>
      <w:bookmarkStart w:id="2" w:name="O_1142397"/>
      <w:bookmarkEnd w:id="2"/>
      <w:r w:rsidRPr="00E5201F">
        <w:t>Application</w:t>
      </w:r>
    </w:p>
    <w:p w:rsidR="00000000" w:rsidRPr="00E5201F" w:rsidP="00533FA5">
      <w:pPr>
        <w:pStyle w:val="BodyText"/>
      </w:pPr>
      <w:r w:rsidRPr="00E5201F">
        <w:t xml:space="preserve">This unit of competency describes the skills and knowledge required to check </w:t>
      </w:r>
      <w:r w:rsidRPr="00E5201F">
        <w:t>and remove foreign matter from processing by-products intended to be sent to rendering.</w:t>
      </w:r>
    </w:p>
    <w:p w:rsidR="00000000" w:rsidRPr="00E5201F" w:rsidP="00533FA5">
      <w:pPr>
        <w:pStyle w:val="BodyText"/>
      </w:pPr>
      <w:r w:rsidRPr="00E5201F">
        <w:t>The unit applies to individuals in a food processing premises who have responsibility for ensuring that processing by-products to be sent to rendering meet the renderer</w:t>
      </w:r>
      <w:r>
        <w:t>’</w:t>
      </w:r>
      <w:r w:rsidRPr="00E5201F">
        <w:t>s specifications. They follow a monitoring schedule and may be required to either personally remove or arrange for the removal of identified foreign matter.</w:t>
      </w:r>
    </w:p>
    <w:p w:rsidR="00000000" w:rsidRPr="00E5201F" w:rsidP="00533FA5">
      <w:pPr>
        <w:pStyle w:val="BodyText"/>
      </w:pPr>
      <w:r w:rsidRPr="00E5201F">
        <w:t>All work must be carried out to comply with workplace procedures, according to state/territory hea</w:t>
      </w:r>
      <w:r w:rsidRPr="00E5201F">
        <w:t xml:space="preserve">lth and safety regulations, legislation and standards that apply to the workplace. </w:t>
      </w:r>
    </w:p>
    <w:p w:rsidR="00000000" w:rsidRPr="00E5201F" w:rsidP="00533FA5">
      <w:pPr>
        <w:pStyle w:val="BodyText"/>
      </w:pPr>
      <w:r w:rsidRPr="00E5201F">
        <w:t xml:space="preserve">No licensing, legislative or certification requirements apply to this unit at the time of publication. </w:t>
      </w:r>
    </w:p>
    <w:p w:rsidR="00000000" w:rsidRPr="00E5201F" w:rsidP="00E5201F">
      <w:pPr>
        <w:pStyle w:val="Heading1"/>
      </w:pPr>
      <w:bookmarkStart w:id="3" w:name="O_1142398"/>
      <w:bookmarkEnd w:id="3"/>
      <w:r w:rsidRPr="00E5201F">
        <w:t>Pre-requisite Unit</w:t>
      </w:r>
    </w:p>
    <w:p w:rsidR="00000000" w:rsidRPr="00E5201F" w:rsidP="00533FA5">
      <w:pPr>
        <w:pStyle w:val="BodyText"/>
      </w:pPr>
      <w:r w:rsidRPr="00E5201F">
        <w:t>Nil</w:t>
      </w:r>
    </w:p>
    <w:p w:rsidR="00000000" w:rsidRPr="00E5201F" w:rsidP="00E5201F">
      <w:pPr>
        <w:pStyle w:val="Heading1"/>
      </w:pPr>
      <w:bookmarkStart w:id="4" w:name="O_1142400"/>
      <w:bookmarkEnd w:id="4"/>
      <w:r w:rsidRPr="00E5201F">
        <w:t>Unit Se</w:t>
      </w:r>
      <w:r w:rsidRPr="00E5201F">
        <w:t>ctor</w:t>
      </w:r>
    </w:p>
    <w:p w:rsidR="00000000" w:rsidRPr="00E5201F" w:rsidP="00533FA5">
      <w:pPr>
        <w:pStyle w:val="BodyText"/>
      </w:pPr>
      <w:r w:rsidRPr="00E5201F">
        <w:t>All meat processing sectors</w:t>
      </w:r>
    </w:p>
    <w:p w:rsidR="00000000" w:rsidRPr="00E5201F" w:rsidP="00E5201F">
      <w:pPr>
        <w:pStyle w:val="Heading1"/>
      </w:pPr>
      <w:bookmarkStart w:id="5" w:name="O_1142401"/>
      <w:bookmarkEnd w:id="5"/>
      <w:r w:rsidRPr="00E5201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33F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01F">
            <w:pPr>
              <w:pStyle w:val="BodyTextBold"/>
              <w:rPr>
                <w:lang w:val="en-NZ"/>
              </w:rPr>
            </w:pPr>
            <w:r w:rsidRPr="00E5201F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01F">
            <w:pPr>
              <w:pStyle w:val="BodyTextBold"/>
              <w:rPr>
                <w:lang w:val="en-NZ"/>
              </w:rPr>
            </w:pPr>
            <w:r w:rsidRPr="00E5201F">
              <w:t>Performance Criteria</w:t>
            </w:r>
          </w:p>
        </w:tc>
      </w:tr>
      <w:tr w:rsidTr="00533F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01F" w:rsidP="00E5201F">
            <w:pPr>
              <w:pStyle w:val="BodyText"/>
            </w:pPr>
            <w:r w:rsidRPr="00E5201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01F">
            <w:pPr>
              <w:pStyle w:val="BodyText"/>
              <w:rPr>
                <w:lang w:val="en-NZ"/>
              </w:rPr>
            </w:pPr>
            <w:r w:rsidRPr="00E5201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33F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01F">
            <w:pPr>
              <w:pStyle w:val="BodyText"/>
              <w:rPr>
                <w:lang w:val="en-NZ"/>
              </w:rPr>
            </w:pPr>
            <w:r w:rsidRPr="00E5201F">
              <w:t>1. Prepare for monitoring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01F" w:rsidP="00E5201F">
            <w:pPr>
              <w:pStyle w:val="BodyText"/>
            </w:pPr>
            <w:r w:rsidRPr="00E5201F">
              <w:t>1.1 Identify specifications for by-products raw material acceptable for rendering</w:t>
            </w:r>
          </w:p>
          <w:p w:rsidR="00000000" w:rsidRPr="00E5201F" w:rsidP="00E5201F">
            <w:pPr>
              <w:pStyle w:val="BodyText"/>
            </w:pPr>
            <w:r w:rsidRPr="00E5201F">
              <w:t xml:space="preserve">1.2 Identify potential sources and causes of contamination from </w:t>
            </w:r>
            <w:r w:rsidRPr="00E5201F">
              <w:t>foreign matter, and identify workplace control measures</w:t>
            </w:r>
          </w:p>
          <w:p w:rsidR="00000000" w:rsidRPr="00E5201F" w:rsidP="00E5201F">
            <w:pPr>
              <w:pStyle w:val="BodyText"/>
            </w:pPr>
            <w:r w:rsidRPr="00E5201F">
              <w:t>1.3 Review feedback and guid</w:t>
            </w:r>
            <w:r w:rsidRPr="00E5201F">
              <w:t>elines from renderer on previous shipments, where applicable</w:t>
            </w:r>
          </w:p>
          <w:p w:rsidR="00000000" w:rsidP="00E5201F">
            <w:pPr>
              <w:pStyle w:val="BodyText"/>
              <w:rPr>
                <w:lang w:val="en-NZ"/>
              </w:rPr>
            </w:pPr>
            <w:r w:rsidRPr="00E5201F">
              <w:t xml:space="preserve">1.4 Identify and confirm monitoring schedule requirements </w:t>
            </w:r>
          </w:p>
        </w:tc>
      </w:tr>
      <w:tr w:rsidTr="00533F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01F">
            <w:pPr>
              <w:pStyle w:val="BodyText"/>
              <w:rPr>
                <w:lang w:val="en-NZ"/>
              </w:rPr>
            </w:pPr>
            <w:r w:rsidRPr="00E5201F">
              <w:t>2. Monitor product to be sent to rendering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01F" w:rsidP="00E5201F">
            <w:pPr>
              <w:pStyle w:val="BodyText"/>
            </w:pPr>
            <w:r w:rsidRPr="00E5201F">
              <w:t>2.1 Conduct visual checks to identify the presence of foreign matter</w:t>
            </w:r>
          </w:p>
          <w:p w:rsidR="00000000" w:rsidRPr="00E5201F" w:rsidP="00E5201F">
            <w:pPr>
              <w:pStyle w:val="BodyText"/>
            </w:pPr>
            <w:r w:rsidRPr="00E5201F">
              <w:t>2.2 Use available technologies to detect foreign matter, where applicable</w:t>
            </w:r>
          </w:p>
          <w:p w:rsidR="00000000" w:rsidRPr="00E5201F" w:rsidP="00E5201F">
            <w:pPr>
              <w:pStyle w:val="BodyText"/>
            </w:pPr>
            <w:r w:rsidRPr="00E5201F">
              <w:t xml:space="preserve">2.3 Reduce presence of foreign matter by removing any detected foreign matter  </w:t>
            </w:r>
          </w:p>
          <w:p w:rsidR="00000000" w:rsidRPr="00E5201F" w:rsidP="00E5201F">
            <w:pPr>
              <w:pStyle w:val="BodyText"/>
            </w:pPr>
            <w:r w:rsidRPr="00E5201F">
              <w:t>2.4 Monitor product temperature, storage, handling and hygiene requirements and make adjustments or re</w:t>
            </w:r>
            <w:r w:rsidRPr="00E5201F">
              <w:t>port according to workplace requirements</w:t>
            </w:r>
          </w:p>
          <w:p w:rsidR="00000000" w:rsidRPr="00E5201F" w:rsidP="00E5201F">
            <w:pPr>
              <w:pStyle w:val="BodyText"/>
            </w:pPr>
            <w:r w:rsidRPr="00E5201F">
              <w:t>2.5 Dispose of foreign matter waste product according to workplace procedures</w:t>
            </w:r>
          </w:p>
          <w:p w:rsidR="00000000" w:rsidP="00E5201F">
            <w:pPr>
              <w:pStyle w:val="BodyText"/>
              <w:rPr>
                <w:lang w:val="en-NZ"/>
              </w:rPr>
            </w:pPr>
            <w:r w:rsidRPr="00E5201F">
              <w:t>2.6 Record findings of foreign matter according to workplace requirements</w:t>
            </w:r>
          </w:p>
        </w:tc>
      </w:tr>
      <w:tr w:rsidTr="00533F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01F">
            <w:pPr>
              <w:pStyle w:val="BodyText"/>
              <w:rPr>
                <w:lang w:val="en-NZ"/>
              </w:rPr>
            </w:pPr>
            <w:r w:rsidRPr="00E5201F">
              <w:t xml:space="preserve">3. Implement improvement process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01F" w:rsidP="00E5201F">
            <w:pPr>
              <w:pStyle w:val="BodyText"/>
            </w:pPr>
            <w:r w:rsidRPr="00E5201F">
              <w:t>3.1 Assess causes of the pre</w:t>
            </w:r>
            <w:r w:rsidRPr="00E5201F">
              <w:t xml:space="preserve">sence of foreign matter in raw material for rendering </w:t>
            </w:r>
          </w:p>
          <w:p w:rsidR="00000000" w:rsidRPr="00E5201F" w:rsidP="00E5201F">
            <w:pPr>
              <w:pStyle w:val="BodyText"/>
            </w:pPr>
            <w:r w:rsidRPr="00E5201F">
              <w:t>3.2 Identify strategy to improve performance in reducing incidents of foreign matter in raw materials</w:t>
            </w:r>
          </w:p>
          <w:p w:rsidR="00000000" w:rsidRPr="00E5201F" w:rsidP="00E5201F">
            <w:pPr>
              <w:pStyle w:val="BodyText"/>
            </w:pPr>
            <w:r w:rsidRPr="00E5201F">
              <w:t xml:space="preserve">3.3 Implement and assess effectiveness of improvement strategy </w:t>
            </w:r>
          </w:p>
          <w:p w:rsidR="00000000" w:rsidRPr="00E5201F" w:rsidP="00E5201F">
            <w:pPr>
              <w:pStyle w:val="BodyText"/>
            </w:pPr>
            <w:r w:rsidRPr="00E5201F">
              <w:t>3.4 Report overall performance to r</w:t>
            </w:r>
            <w:r w:rsidRPr="00E5201F">
              <w:t>elevant personnel</w:t>
            </w:r>
          </w:p>
        </w:tc>
      </w:tr>
    </w:tbl>
    <w:p w:rsidR="00000000" w:rsidRPr="00E5201F" w:rsidP="00E5201F">
      <w:pPr>
        <w:pStyle w:val="BodyText"/>
      </w:pPr>
    </w:p>
    <w:p w:rsidR="00000000" w:rsidRPr="00E5201F" w:rsidP="00E5201F">
      <w:pPr>
        <w:pStyle w:val="AllowPageBreak"/>
      </w:pPr>
    </w:p>
    <w:p w:rsidR="00000000" w:rsidRPr="00E5201F" w:rsidP="00E5201F">
      <w:pPr>
        <w:pStyle w:val="Heading1"/>
      </w:pPr>
      <w:bookmarkStart w:id="6" w:name="O_1142402"/>
      <w:bookmarkEnd w:id="6"/>
      <w:r w:rsidRPr="00E5201F">
        <w:t>Foundation Skills</w:t>
      </w:r>
    </w:p>
    <w:p w:rsidR="00000000" w:rsidRPr="00533FA5" w:rsidP="00533FA5">
      <w:pPr>
        <w:pStyle w:val="BodyText"/>
        <w:rPr>
          <w:i/>
        </w:rPr>
      </w:pPr>
      <w:r w:rsidRPr="00533FA5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520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01F">
            <w:pPr>
              <w:pStyle w:val="BodyTextBold"/>
              <w:rPr>
                <w:lang w:val="en-NZ"/>
              </w:rPr>
            </w:pPr>
            <w:r w:rsidRPr="00E5201F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01F">
            <w:pPr>
              <w:pStyle w:val="BodyTextBold"/>
              <w:rPr>
                <w:lang w:val="en-NZ"/>
              </w:rPr>
            </w:pPr>
            <w:r w:rsidRPr="00E5201F">
              <w:t>Description</w:t>
            </w:r>
          </w:p>
        </w:tc>
      </w:tr>
      <w:tr w:rsidTr="00E520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01F">
            <w:pPr>
              <w:pStyle w:val="BodyText"/>
              <w:rPr>
                <w:lang w:val="en-NZ"/>
              </w:rPr>
            </w:pPr>
            <w:r w:rsidRPr="00E5201F">
              <w:t>Learning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01F">
            <w:pPr>
              <w:pStyle w:val="ListBullet"/>
              <w:rPr>
                <w:lang w:val="en-NZ"/>
              </w:rPr>
            </w:pPr>
            <w:r w:rsidRPr="00E5201F">
              <w:t xml:space="preserve">Follow industry publications and events to identify recent technological advances in the detection of foreign matter </w:t>
            </w:r>
          </w:p>
        </w:tc>
      </w:tr>
      <w:tr w:rsidTr="00E520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01F">
            <w:pPr>
              <w:pStyle w:val="BodyText"/>
              <w:rPr>
                <w:lang w:val="en-NZ"/>
              </w:rPr>
            </w:pPr>
            <w:r w:rsidRPr="00E5201F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01F">
            <w:pPr>
              <w:pStyle w:val="ListBullet"/>
              <w:rPr>
                <w:lang w:val="en-NZ"/>
              </w:rPr>
            </w:pPr>
            <w:r w:rsidRPr="00E5201F">
              <w:t xml:space="preserve">Read and interpret regulatory requirements relevant to the collection of product destined for rendering </w:t>
            </w:r>
          </w:p>
        </w:tc>
      </w:tr>
      <w:tr w:rsidTr="00E520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01F">
            <w:pPr>
              <w:pStyle w:val="BodyText"/>
              <w:rPr>
                <w:lang w:val="en-NZ"/>
              </w:rPr>
            </w:pPr>
            <w:r w:rsidRPr="00E5201F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01F" w:rsidP="00E5201F">
            <w:pPr>
              <w:pStyle w:val="ListBullet"/>
            </w:pPr>
            <w:r w:rsidRPr="00E5201F">
              <w:t xml:space="preserve">Provide guidance and advice to staff members to reduce the occurrence of foreign matter in rendering material </w:t>
            </w:r>
          </w:p>
        </w:tc>
      </w:tr>
    </w:tbl>
    <w:p w:rsidR="00000000" w:rsidRPr="00E5201F" w:rsidP="00E5201F">
      <w:pPr>
        <w:pStyle w:val="BodyText"/>
      </w:pPr>
    </w:p>
    <w:p w:rsidR="00000000" w:rsidRPr="00E5201F" w:rsidP="00E5201F">
      <w:pPr>
        <w:pStyle w:val="AllowPageBreak"/>
      </w:pPr>
    </w:p>
    <w:p w:rsidR="00000000" w:rsidRPr="00E5201F" w:rsidP="00E5201F">
      <w:pPr>
        <w:pStyle w:val="Heading1"/>
      </w:pPr>
      <w:bookmarkStart w:id="7" w:name="O_1142404"/>
      <w:bookmarkEnd w:id="7"/>
      <w:r w:rsidRPr="00E5201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E520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01F">
            <w:pPr>
              <w:pStyle w:val="BodyTextBold"/>
              <w:rPr>
                <w:lang w:val="en-NZ"/>
              </w:rPr>
            </w:pPr>
            <w:r w:rsidRPr="00E5201F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01F">
            <w:pPr>
              <w:pStyle w:val="BodyTextBold"/>
              <w:rPr>
                <w:lang w:val="en-NZ"/>
              </w:rPr>
            </w:pPr>
            <w:r w:rsidRPr="00E5201F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01F">
            <w:pPr>
              <w:pStyle w:val="BodyTextBold"/>
              <w:rPr>
                <w:lang w:val="en-NZ"/>
              </w:rPr>
            </w:pPr>
            <w:r w:rsidRPr="00E5201F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01F">
            <w:pPr>
              <w:pStyle w:val="BodyTextBold"/>
              <w:rPr>
                <w:lang w:val="en-NZ"/>
              </w:rPr>
            </w:pPr>
            <w:r w:rsidRPr="00E5201F">
              <w:t>Equi</w:t>
            </w:r>
            <w:r w:rsidRPr="00E5201F">
              <w:t>valence status</w:t>
            </w:r>
          </w:p>
        </w:tc>
      </w:tr>
      <w:tr w:rsidTr="00E520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01F">
            <w:pPr>
              <w:pStyle w:val="BodyText"/>
              <w:rPr>
                <w:lang w:val="en-NZ"/>
              </w:rPr>
            </w:pPr>
            <w:r w:rsidRPr="00E5201F">
              <w:t xml:space="preserve">AMPX316 Monitor product to be sent to rendering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01F">
            <w:pPr>
              <w:pStyle w:val="BodyText"/>
              <w:rPr>
                <w:lang w:val="en-NZ"/>
              </w:rPr>
            </w:pPr>
            <w:r w:rsidRPr="00E5201F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01F">
            <w:pPr>
              <w:pStyle w:val="BodyText"/>
              <w:rPr>
                <w:lang w:val="en-NZ"/>
              </w:rPr>
            </w:pPr>
            <w:r w:rsidRPr="00E5201F">
              <w:t xml:space="preserve">Unit has been created to address an emerging skill required by industry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01F" w:rsidP="00E5201F">
            <w:pPr>
              <w:pStyle w:val="BodyText"/>
            </w:pPr>
            <w:r w:rsidRPr="00E5201F">
              <w:t>Newly created</w:t>
            </w:r>
          </w:p>
        </w:tc>
      </w:tr>
    </w:tbl>
    <w:p w:rsidR="00000000" w:rsidRPr="00E5201F" w:rsidP="00E5201F">
      <w:pPr>
        <w:pStyle w:val="BodyText"/>
      </w:pPr>
    </w:p>
    <w:p w:rsidR="00000000" w:rsidRPr="00E5201F" w:rsidP="00E5201F">
      <w:pPr>
        <w:pStyle w:val="AllowPageBreak"/>
      </w:pPr>
    </w:p>
    <w:p w:rsidR="00000000" w:rsidRPr="00E5201F" w:rsidP="00E5201F">
      <w:pPr>
        <w:pStyle w:val="Heading1"/>
      </w:pPr>
      <w:bookmarkStart w:id="8" w:name="O_1142411"/>
      <w:bookmarkEnd w:id="8"/>
      <w:r w:rsidRPr="00E5201F">
        <w:t>Links</w:t>
      </w:r>
    </w:p>
    <w:p w:rsidR="00000000" w:rsidRPr="00E5201F" w:rsidP="00533FA5">
      <w:pPr>
        <w:pStyle w:val="BodyText"/>
      </w:pPr>
      <w:r w:rsidRPr="00E5201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C413AB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E5201F" w:rsidP="00E5201F"/>
    <w:sectPr w:rsidSect="00E5201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01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01F" w:rsidRPr="00533FA5" w:rsidP="00533FA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01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FA5" w:rsidP="00E520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33FA5" w:rsidP="00E520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33FA5" w:rsidP="00E5201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01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FA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5201F" w:rsidRPr="00533FA5" w:rsidP="00533FA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01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FA5" w:rsidRPr="002D2AF8" w:rsidP="00E520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AMPX316 Monitor product to be sent to rendering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533FA5" w:rsidP="00E5201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71A19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EEAF1B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201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201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201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201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201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201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201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201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201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201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20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201F"/>
  </w:style>
  <w:style w:type="character" w:customStyle="1" w:styleId="Heading1Char">
    <w:name w:val="Heading 1 Char"/>
    <w:basedOn w:val="DefaultParagraphFont"/>
    <w:link w:val="Heading1"/>
    <w:rsid w:val="00E5201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201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201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5201F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E5201F"/>
    <w:rPr>
      <w:i/>
    </w:rPr>
  </w:style>
  <w:style w:type="paragraph" w:customStyle="1" w:styleId="SuperHeading">
    <w:name w:val="SuperHeading"/>
    <w:basedOn w:val="Normal"/>
    <w:rsid w:val="00E5201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5201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5201F"/>
    <w:rPr>
      <w:b/>
    </w:rPr>
  </w:style>
  <w:style w:type="character" w:customStyle="1" w:styleId="Heading2Char">
    <w:name w:val="Heading 2 Char"/>
    <w:basedOn w:val="DefaultParagraphFont"/>
    <w:link w:val="Heading2"/>
    <w:rsid w:val="00E5201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201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201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20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20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20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20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201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201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201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201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201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201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201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201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201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201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201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5201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5201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5201F"/>
    <w:rPr>
      <w:b/>
      <w:spacing w:val="0"/>
    </w:rPr>
  </w:style>
  <w:style w:type="paragraph" w:customStyle="1" w:styleId="SuperTitle">
    <w:name w:val="SuperTitle"/>
    <w:basedOn w:val="Title"/>
    <w:rsid w:val="00E5201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201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201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5201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5201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201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201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201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201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201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201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201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201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5201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201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201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201F"/>
  </w:style>
  <w:style w:type="paragraph" w:styleId="TableofFigures">
    <w:name w:val="table of figures"/>
    <w:basedOn w:val="Normal"/>
    <w:next w:val="Normal"/>
    <w:semiHidden/>
    <w:rsid w:val="00E5201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201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5201F"/>
    <w:rPr>
      <w:rFonts w:ascii="Wingdings" w:hAnsi="Wingdings"/>
    </w:rPr>
  </w:style>
  <w:style w:type="paragraph" w:customStyle="1" w:styleId="TableHeading">
    <w:name w:val="Table Heading"/>
    <w:basedOn w:val="HeadingBase"/>
    <w:rsid w:val="00E5201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201F"/>
    <w:rPr>
      <w:color w:val="0033CC"/>
      <w:u w:val="none"/>
    </w:rPr>
  </w:style>
  <w:style w:type="paragraph" w:customStyle="1" w:styleId="BodyTextRight">
    <w:name w:val="Body Text Right"/>
    <w:basedOn w:val="BodyText"/>
    <w:rsid w:val="00E5201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201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201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201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201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201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201F"/>
    <w:rPr>
      <w:sz w:val="32"/>
    </w:rPr>
  </w:style>
  <w:style w:type="paragraph" w:customStyle="1" w:styleId="HeadingProcedure">
    <w:name w:val="Heading Procedure"/>
    <w:basedOn w:val="HeadingBase"/>
    <w:next w:val="Normal"/>
    <w:rsid w:val="00E5201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201F"/>
    <w:pPr>
      <w:spacing w:before="60" w:after="60"/>
    </w:pPr>
  </w:style>
  <w:style w:type="paragraph" w:styleId="ListContinue">
    <w:name w:val="List Continue"/>
    <w:basedOn w:val="List"/>
    <w:rsid w:val="00E5201F"/>
    <w:pPr>
      <w:ind w:firstLine="0"/>
    </w:pPr>
  </w:style>
  <w:style w:type="paragraph" w:customStyle="1" w:styleId="ListNote">
    <w:name w:val="List Note"/>
    <w:basedOn w:val="List"/>
    <w:rsid w:val="00E5201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201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201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201F"/>
    <w:rPr>
      <w:rFonts w:ascii="Courier New" w:hAnsi="Courier New"/>
    </w:rPr>
  </w:style>
  <w:style w:type="paragraph" w:customStyle="1" w:styleId="NoteBullet">
    <w:name w:val="Note Bullet"/>
    <w:basedOn w:val="Note"/>
    <w:rsid w:val="00E5201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201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201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201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201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5201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201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201F"/>
    <w:rPr>
      <w:b/>
      <w:smallCaps/>
    </w:rPr>
  </w:style>
  <w:style w:type="paragraph" w:customStyle="1" w:styleId="TableListNumber">
    <w:name w:val="Table List Number"/>
    <w:basedOn w:val="ListNumber"/>
    <w:rsid w:val="00E5201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201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201F"/>
    <w:pPr>
      <w:numPr>
        <w:numId w:val="8"/>
      </w:numPr>
    </w:pPr>
  </w:style>
  <w:style w:type="paragraph" w:customStyle="1" w:styleId="ListAlpha2">
    <w:name w:val="List Alpha 2"/>
    <w:basedOn w:val="List2"/>
    <w:rsid w:val="00E5201F"/>
    <w:pPr>
      <w:numPr>
        <w:numId w:val="7"/>
      </w:numPr>
    </w:pPr>
  </w:style>
  <w:style w:type="paragraph" w:styleId="List2">
    <w:name w:val="List 2"/>
    <w:basedOn w:val="BodyText"/>
    <w:rsid w:val="00E5201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201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201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201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5201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5201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5201F"/>
    <w:pPr>
      <w:numPr>
        <w:numId w:val="3"/>
      </w:numPr>
    </w:pPr>
  </w:style>
  <w:style w:type="paragraph" w:styleId="ListContinue2">
    <w:name w:val="List Continue 2"/>
    <w:basedOn w:val="List2"/>
    <w:rsid w:val="00E5201F"/>
    <w:pPr>
      <w:ind w:firstLine="0"/>
    </w:pPr>
  </w:style>
  <w:style w:type="paragraph" w:styleId="ListContinue3">
    <w:name w:val="List Continue 3"/>
    <w:basedOn w:val="List3"/>
    <w:rsid w:val="00E5201F"/>
    <w:pPr>
      <w:ind w:left="1021" w:firstLine="0"/>
    </w:pPr>
  </w:style>
  <w:style w:type="paragraph" w:styleId="ListContinue4">
    <w:name w:val="List Continue 4"/>
    <w:basedOn w:val="List4"/>
    <w:rsid w:val="00E5201F"/>
    <w:pPr>
      <w:ind w:firstLine="0"/>
    </w:pPr>
  </w:style>
  <w:style w:type="paragraph" w:styleId="ListContinue5">
    <w:name w:val="List Continue 5"/>
    <w:basedOn w:val="List5"/>
    <w:rsid w:val="00E5201F"/>
    <w:pPr>
      <w:ind w:firstLine="0"/>
    </w:pPr>
  </w:style>
  <w:style w:type="paragraph" w:styleId="ListNumber3">
    <w:name w:val="List Number 3"/>
    <w:basedOn w:val="List3"/>
    <w:rsid w:val="00E5201F"/>
    <w:pPr>
      <w:numPr>
        <w:numId w:val="4"/>
      </w:numPr>
    </w:pPr>
  </w:style>
  <w:style w:type="paragraph" w:styleId="ListNumber4">
    <w:name w:val="List Number 4"/>
    <w:basedOn w:val="List4"/>
    <w:rsid w:val="00E5201F"/>
    <w:pPr>
      <w:numPr>
        <w:numId w:val="5"/>
      </w:numPr>
    </w:pPr>
  </w:style>
  <w:style w:type="paragraph" w:styleId="ListNumber5">
    <w:name w:val="List Number 5"/>
    <w:basedOn w:val="List5"/>
    <w:rsid w:val="00E5201F"/>
    <w:pPr>
      <w:numPr>
        <w:numId w:val="6"/>
      </w:numPr>
    </w:pPr>
  </w:style>
  <w:style w:type="paragraph" w:styleId="BlockText">
    <w:name w:val="Block Text"/>
    <w:basedOn w:val="Normal"/>
    <w:rsid w:val="00E5201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201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201F"/>
    <w:rPr>
      <w:sz w:val="16"/>
      <w:vertAlign w:val="superscript"/>
    </w:rPr>
  </w:style>
  <w:style w:type="character" w:customStyle="1" w:styleId="Symbols">
    <w:name w:val="Symbols"/>
    <w:basedOn w:val="DefaultParagraphFont"/>
    <w:rsid w:val="00E5201F"/>
    <w:rPr>
      <w:rFonts w:ascii="Symbol" w:hAnsi="Symbol"/>
    </w:rPr>
  </w:style>
  <w:style w:type="character" w:customStyle="1" w:styleId="MenuOptions">
    <w:name w:val="Menu Options"/>
    <w:basedOn w:val="DefaultParagraphFont"/>
    <w:rsid w:val="00E5201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201F"/>
    <w:rPr>
      <w:b/>
    </w:rPr>
  </w:style>
  <w:style w:type="character" w:customStyle="1" w:styleId="Underlined">
    <w:name w:val="Underlined"/>
    <w:basedOn w:val="DefaultParagraphFont"/>
    <w:rsid w:val="00E5201F"/>
    <w:rPr>
      <w:u w:val="single"/>
    </w:rPr>
  </w:style>
  <w:style w:type="paragraph" w:customStyle="1" w:styleId="TableBodyTextRight">
    <w:name w:val="Table Body Text Right"/>
    <w:basedOn w:val="TableBodyText"/>
    <w:rsid w:val="00E5201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201F"/>
    <w:rPr>
      <w:sz w:val="18"/>
    </w:rPr>
  </w:style>
  <w:style w:type="paragraph" w:customStyle="1" w:styleId="BodySmallRight">
    <w:name w:val="Body Small Right"/>
    <w:basedOn w:val="BodyTextRight"/>
    <w:rsid w:val="00E5201F"/>
    <w:rPr>
      <w:sz w:val="18"/>
      <w:szCs w:val="18"/>
    </w:rPr>
  </w:style>
  <w:style w:type="paragraph" w:customStyle="1" w:styleId="MarginEdition">
    <w:name w:val="Margin Edition"/>
    <w:basedOn w:val="MarginNote"/>
    <w:rsid w:val="00E5201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201F"/>
    <w:rPr>
      <w:sz w:val="2"/>
      <w:szCs w:val="2"/>
    </w:rPr>
  </w:style>
  <w:style w:type="character" w:customStyle="1" w:styleId="Small">
    <w:name w:val="Small"/>
    <w:basedOn w:val="DefaultParagraphFont"/>
    <w:rsid w:val="00E5201F"/>
    <w:rPr>
      <w:sz w:val="16"/>
    </w:rPr>
  </w:style>
  <w:style w:type="paragraph" w:customStyle="1" w:styleId="WideTable">
    <w:name w:val="Wide Table"/>
    <w:basedOn w:val="Normal"/>
    <w:rsid w:val="00E5201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201F"/>
  </w:style>
  <w:style w:type="paragraph" w:styleId="Quote">
    <w:name w:val="Quote"/>
    <w:basedOn w:val="Heading1"/>
    <w:link w:val="QuoteChar"/>
    <w:qFormat/>
    <w:rsid w:val="00E5201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201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201F"/>
    <w:pPr>
      <w:pageBreakBefore/>
    </w:pPr>
  </w:style>
  <w:style w:type="paragraph" w:customStyle="1" w:styleId="Border">
    <w:name w:val="Border"/>
    <w:basedOn w:val="Normal"/>
    <w:qFormat/>
    <w:rsid w:val="00E5201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201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20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201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201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201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201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201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201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201F"/>
    <w:rPr>
      <w:u w:val="single"/>
    </w:rPr>
  </w:style>
  <w:style w:type="character" w:customStyle="1" w:styleId="BoldandItalics">
    <w:name w:val="Bold and Italics"/>
    <w:qFormat/>
    <w:rsid w:val="00E5201F"/>
    <w:rPr>
      <w:b/>
      <w:i/>
      <w:u w:val="none"/>
    </w:rPr>
  </w:style>
  <w:style w:type="paragraph" w:styleId="BalloonText">
    <w:name w:val="Balloon Text"/>
    <w:basedOn w:val="Normal"/>
    <w:link w:val="BalloonTextChar"/>
    <w:rsid w:val="00E520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201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201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201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201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201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5201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33FA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525</Words>
  <Characters>3274</Characters>
  <Application>Microsoft Office Word</Application>
  <DocSecurity>0</DocSecurity>
  <Lines>116</Lines>
  <Paragraphs>73</Paragraphs>
  <ScaleCrop>false</ScaleCrop>
  <Company>Author-it Software Corporation Ltd.</Company>
  <LinksUpToDate>false</LinksUpToDate>
  <CharactersWithSpaces>3726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AMPX316 Monitor product to be sent to rendering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2023-01-24T11:34:00Z</dcterms:created>
  <dcterms:modified xsi:type="dcterms:W3CDTF">2023-01-24T11:34:00Z</dcterms:modified>
</cp:coreProperties>
</file>