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084" w:rsidP="003620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AMPX316 Monitor product to be sent to rendering</w:t>
      </w:r>
      <w:r>
        <w:fldChar w:fldCharType="end"/>
      </w:r>
    </w:p>
    <w:p w:rsidR="00362084" w:rsidP="00362084">
      <w:pPr>
        <w:pStyle w:val="Version"/>
        <w:sectPr w:rsidSect="003C7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10B" w:rsidP="003C710B">
      <w:pPr>
        <w:pStyle w:val="SuperHeading"/>
      </w:pPr>
      <w:r w:rsidRPr="003C710B">
        <w:t>AMPX316 Monitor product to be sent to rendering</w:t>
      </w:r>
    </w:p>
    <w:p w:rsidR="00000000" w:rsidRPr="003C710B" w:rsidP="003C710B">
      <w:pPr>
        <w:pStyle w:val="Heading1"/>
      </w:pPr>
      <w:bookmarkStart w:id="1" w:name="O_1142396"/>
      <w:bookmarkEnd w:id="1"/>
      <w:r w:rsidRPr="003C71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Comments</w:t>
            </w:r>
          </w:p>
        </w:tc>
      </w:tr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t>This version released with AMP Australian Meat Processing Training Package Version 5.0.</w:t>
            </w:r>
          </w:p>
        </w:tc>
      </w:tr>
    </w:tbl>
    <w:p w:rsidR="00000000" w:rsidRPr="003C710B" w:rsidP="003C710B">
      <w:pPr>
        <w:pStyle w:val="BodyText"/>
      </w:pP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2" w:name="O_1142397"/>
      <w:bookmarkEnd w:id="2"/>
      <w:r w:rsidRPr="003C710B">
        <w:t>Application</w:t>
      </w:r>
    </w:p>
    <w:p w:rsidR="00000000" w:rsidRPr="003C710B" w:rsidP="00362084">
      <w:pPr>
        <w:pStyle w:val="BodyText"/>
      </w:pPr>
      <w:r w:rsidRPr="003C710B">
        <w:t xml:space="preserve">This unit of competency describes the skills and knowledge required to check </w:t>
      </w:r>
      <w:r w:rsidRPr="003C710B">
        <w:t>and remove foreign matter from processing by-products intended to be sent to rendering.</w:t>
      </w:r>
    </w:p>
    <w:p w:rsidR="00000000" w:rsidRPr="003C710B" w:rsidP="00362084">
      <w:pPr>
        <w:pStyle w:val="BodyText"/>
      </w:pPr>
      <w:r w:rsidRPr="003C710B">
        <w:t>The unit applies to individuals in a food processing premises who have responsibility for ensuring that processing by-products to be sent to rendering meet the renderer</w:t>
      </w:r>
      <w:r>
        <w:t>’</w:t>
      </w:r>
      <w:r w:rsidRPr="003C710B">
        <w:t>s specifications. They follow a monitoring schedule and may be required to either personally remove or arrange for the removal of identified foreign matter.</w:t>
      </w:r>
    </w:p>
    <w:p w:rsidR="00000000" w:rsidRPr="003C710B" w:rsidP="00362084">
      <w:pPr>
        <w:pStyle w:val="BodyText"/>
      </w:pPr>
      <w:r w:rsidRPr="003C710B">
        <w:t>All work must be carried out to comply with workplace procedures, according to state/territory hea</w:t>
      </w:r>
      <w:r w:rsidRPr="003C710B">
        <w:t xml:space="preserve">lth and safety regulations, legislation and standards that apply to the workplace. </w:t>
      </w:r>
    </w:p>
    <w:p w:rsidR="00000000" w:rsidRPr="003C710B" w:rsidP="00362084">
      <w:pPr>
        <w:pStyle w:val="BodyText"/>
      </w:pPr>
      <w:r w:rsidRPr="003C710B">
        <w:t xml:space="preserve">No licensing, legislative or certification requirements apply to this unit at the time of publication. </w:t>
      </w:r>
    </w:p>
    <w:p w:rsidR="00000000" w:rsidRPr="003C710B" w:rsidP="003C710B">
      <w:pPr>
        <w:pStyle w:val="Heading1"/>
      </w:pPr>
      <w:bookmarkStart w:id="3" w:name="O_1142398"/>
      <w:bookmarkEnd w:id="3"/>
      <w:r w:rsidRPr="003C710B">
        <w:t>Pre-requisite Unit</w:t>
      </w:r>
    </w:p>
    <w:p w:rsidR="00000000" w:rsidRPr="003C710B" w:rsidP="00362084">
      <w:pPr>
        <w:pStyle w:val="BodyText"/>
      </w:pPr>
      <w:r w:rsidRPr="003C710B">
        <w:t>Nil</w:t>
      </w:r>
    </w:p>
    <w:p w:rsidR="00000000" w:rsidRPr="003C710B" w:rsidP="003C710B">
      <w:pPr>
        <w:pStyle w:val="Heading1"/>
      </w:pPr>
      <w:bookmarkStart w:id="4" w:name="O_1142400"/>
      <w:bookmarkEnd w:id="4"/>
      <w:r w:rsidRPr="003C710B">
        <w:t>Unit Se</w:t>
      </w:r>
      <w:r w:rsidRPr="003C710B">
        <w:t>ctor</w:t>
      </w:r>
    </w:p>
    <w:p w:rsidR="00000000" w:rsidRPr="003C710B" w:rsidP="00362084">
      <w:pPr>
        <w:pStyle w:val="BodyText"/>
      </w:pPr>
      <w:r w:rsidRPr="003C710B">
        <w:t>All meat processing sectors</w:t>
      </w:r>
    </w:p>
    <w:p w:rsidR="00000000" w:rsidRPr="003C710B" w:rsidP="003C710B">
      <w:pPr>
        <w:pStyle w:val="Heading1"/>
      </w:pPr>
      <w:bookmarkStart w:id="5" w:name="O_1142401"/>
      <w:bookmarkEnd w:id="5"/>
      <w:r w:rsidRPr="003C71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Performance Criteria</w:t>
            </w:r>
          </w:p>
        </w:tc>
      </w:tr>
      <w:tr w:rsidTr="00362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1. Prepare for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t>1.1 Identify specifications for by-products raw material acceptable for rendering</w:t>
            </w:r>
          </w:p>
          <w:p w:rsidR="00000000" w:rsidRPr="003C710B" w:rsidP="003C710B">
            <w:pPr>
              <w:pStyle w:val="BodyText"/>
            </w:pPr>
            <w:r w:rsidRPr="003C710B">
              <w:t>1.2 Identify potential sources and causes of contamination from foreign matter, and identify workplace control measures</w:t>
            </w:r>
          </w:p>
          <w:p w:rsidR="00000000" w:rsidRPr="003C710B" w:rsidP="003C710B">
            <w:pPr>
              <w:pStyle w:val="BodyText"/>
            </w:pPr>
            <w:r w:rsidRPr="003C710B">
              <w:t>1.3 Review feedback and guid</w:t>
            </w:r>
            <w:r w:rsidRPr="003C710B">
              <w:t>elines from renderer on previous shipments, where applicable</w:t>
            </w:r>
          </w:p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 xml:space="preserve">1.4 Identify and confirm monitoring schedule requirements </w:t>
            </w:r>
          </w:p>
        </w:tc>
      </w:tr>
      <w:tr w:rsidTr="00362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2. Monitor product to be sent to rendering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t>2.1 Conduct visual checks to identify the presence of foreign matter</w:t>
            </w:r>
          </w:p>
          <w:p w:rsidR="00000000" w:rsidRPr="003C710B" w:rsidP="003C710B">
            <w:pPr>
              <w:pStyle w:val="BodyText"/>
            </w:pPr>
            <w:r w:rsidRPr="003C710B">
              <w:t>2.2 Use available technologies to detect foreign matter, where applicable</w:t>
            </w:r>
          </w:p>
          <w:p w:rsidR="00000000" w:rsidRPr="003C710B" w:rsidP="003C710B">
            <w:pPr>
              <w:pStyle w:val="BodyText"/>
            </w:pPr>
            <w:r w:rsidRPr="003C710B">
              <w:t xml:space="preserve">2.3 Reduce presence of foreign matter by removing any detected foreign matter  </w:t>
            </w:r>
          </w:p>
          <w:p w:rsidR="00000000" w:rsidRPr="003C710B" w:rsidP="003C710B">
            <w:pPr>
              <w:pStyle w:val="BodyText"/>
            </w:pPr>
            <w:r w:rsidRPr="003C710B">
              <w:t>2.4 Monitor product temperature, storage, handling and hygiene requirements and make adjustments or re</w:t>
            </w:r>
            <w:r w:rsidRPr="003C710B">
              <w:t>port according to workplace requirements</w:t>
            </w:r>
          </w:p>
          <w:p w:rsidR="00000000" w:rsidRPr="003C710B" w:rsidP="003C710B">
            <w:pPr>
              <w:pStyle w:val="BodyText"/>
            </w:pPr>
            <w:r w:rsidRPr="003C710B">
              <w:t>2.5 Dispose of foreign matter waste product according to workplace procedures</w:t>
            </w:r>
          </w:p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2.6 Record findings of foreign matter according to workplace requirements</w:t>
            </w:r>
          </w:p>
        </w:tc>
      </w:tr>
      <w:tr w:rsidTr="003620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 xml:space="preserve">3. Implement improvement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t>3.1 Assess causes of the pre</w:t>
            </w:r>
            <w:r w:rsidRPr="003C710B">
              <w:t xml:space="preserve">sence of foreign matter in raw material for rendering </w:t>
            </w:r>
          </w:p>
          <w:p w:rsidR="00000000" w:rsidRPr="003C710B" w:rsidP="003C710B">
            <w:pPr>
              <w:pStyle w:val="BodyText"/>
            </w:pPr>
            <w:r w:rsidRPr="003C710B">
              <w:t>3.2 Identify strategy to improve performance in reducing incidents of foreign matter in raw materials</w:t>
            </w:r>
          </w:p>
          <w:p w:rsidR="00000000" w:rsidRPr="003C710B" w:rsidP="003C710B">
            <w:pPr>
              <w:pStyle w:val="BodyText"/>
            </w:pPr>
            <w:r w:rsidRPr="003C710B">
              <w:t xml:space="preserve">3.3 Implement and assess effectiveness of improvement strategy </w:t>
            </w:r>
          </w:p>
          <w:p w:rsidR="00000000" w:rsidRPr="003C710B" w:rsidP="003C710B">
            <w:pPr>
              <w:pStyle w:val="BodyText"/>
            </w:pPr>
            <w:r w:rsidRPr="003C710B">
              <w:t>3.4 Report overall performance to r</w:t>
            </w:r>
            <w:r w:rsidRPr="003C710B">
              <w:t>elevant personnel</w:t>
            </w:r>
          </w:p>
        </w:tc>
      </w:tr>
    </w:tbl>
    <w:p w:rsidR="00000000" w:rsidRPr="003C710B" w:rsidP="003C710B">
      <w:pPr>
        <w:pStyle w:val="BodyText"/>
      </w:pP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6" w:name="O_1142402"/>
      <w:bookmarkEnd w:id="6"/>
      <w:r w:rsidRPr="003C710B">
        <w:t>Foundation Skills</w:t>
      </w:r>
    </w:p>
    <w:p w:rsidR="00000000" w:rsidRPr="00362084" w:rsidP="00362084">
      <w:pPr>
        <w:pStyle w:val="BodyText"/>
        <w:rPr>
          <w:i/>
        </w:rPr>
      </w:pPr>
      <w:r w:rsidRPr="0036208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Description</w:t>
            </w:r>
          </w:p>
        </w:tc>
      </w:tr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ListBullet"/>
              <w:rPr>
                <w:lang w:val="en-NZ"/>
              </w:rPr>
            </w:pPr>
            <w:r w:rsidRPr="003C710B">
              <w:t xml:space="preserve">Follow industry publications and events to identify recent technological advances in the detection of foreign matter </w:t>
            </w:r>
          </w:p>
        </w:tc>
      </w:tr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ListBullet"/>
              <w:rPr>
                <w:lang w:val="en-NZ"/>
              </w:rPr>
            </w:pPr>
            <w:r w:rsidRPr="003C710B">
              <w:t xml:space="preserve">Read and interpret regulatory requirements relevant to the collection of product destined for rendering </w:t>
            </w:r>
          </w:p>
        </w:tc>
      </w:tr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ListBullet"/>
            </w:pPr>
            <w:r w:rsidRPr="003C710B">
              <w:t xml:space="preserve">Provide guidance and advice to staff members to reduce the occurrence of foreign matter in rendering material </w:t>
            </w:r>
          </w:p>
        </w:tc>
      </w:tr>
    </w:tbl>
    <w:p w:rsidR="00000000" w:rsidRPr="003C710B" w:rsidP="003C710B">
      <w:pPr>
        <w:pStyle w:val="BodyText"/>
      </w:pP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7" w:name="O_1142404"/>
      <w:bookmarkEnd w:id="7"/>
      <w:r w:rsidRPr="003C71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Equivalence status</w:t>
            </w:r>
          </w:p>
        </w:tc>
      </w:tr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 xml:space="preserve">AMPX316 Monitor product to be sent to rendering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 xml:space="preserve">Unit has been created to address an emerging skill required by industry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t>Newly created</w:t>
            </w:r>
          </w:p>
        </w:tc>
      </w:tr>
    </w:tbl>
    <w:p w:rsidR="00000000" w:rsidRPr="003C710B" w:rsidP="003C710B">
      <w:pPr>
        <w:pStyle w:val="BodyText"/>
      </w:pP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8" w:name="O_1142411"/>
      <w:bookmarkEnd w:id="8"/>
      <w:r w:rsidRPr="003C710B">
        <w:t>Links</w:t>
      </w:r>
    </w:p>
    <w:p w:rsidR="00000000" w:rsidRPr="003C710B" w:rsidP="00362084">
      <w:pPr>
        <w:pStyle w:val="BodyText"/>
      </w:pPr>
      <w:r w:rsidRPr="003C710B">
        <w:t>Companion Volumes, including Implementation Guides, are av</w:t>
      </w:r>
      <w:r w:rsidRPr="003C710B">
        <w:t xml:space="preserve">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2A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C710B" w:rsidP="00362084">
      <w:pPr>
        <w:pStyle w:val="BodyText"/>
        <w:sectPr w:rsidSect="003C71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710B" w:rsidP="003C710B">
      <w:pPr>
        <w:pStyle w:val="SuperHeading"/>
      </w:pPr>
      <w:r w:rsidRPr="003C710B">
        <w:t>Assessment Requirements for AMPX316 Monitor product to be sent to rendering</w:t>
      </w:r>
    </w:p>
    <w:p w:rsidR="00000000" w:rsidRPr="003C710B" w:rsidP="003C710B">
      <w:pPr>
        <w:pStyle w:val="Heading1"/>
      </w:pPr>
      <w:bookmarkStart w:id="9" w:name="O_1142406"/>
      <w:bookmarkEnd w:id="9"/>
      <w:r w:rsidRPr="003C71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Bold"/>
              <w:rPr>
                <w:lang w:val="en-NZ"/>
              </w:rPr>
            </w:pPr>
            <w:r w:rsidRPr="003C710B">
              <w:t>Comments</w:t>
            </w:r>
          </w:p>
        </w:tc>
      </w:tr>
      <w:tr w:rsidTr="003C7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10B">
            <w:pPr>
              <w:pStyle w:val="BodyText"/>
              <w:rPr>
                <w:lang w:val="en-NZ"/>
              </w:rPr>
            </w:pPr>
            <w:r w:rsidRPr="003C71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10B" w:rsidP="003C710B">
            <w:pPr>
              <w:pStyle w:val="BodyText"/>
            </w:pPr>
            <w:r w:rsidRPr="003C710B">
              <w:t>This version released with AMP Australian Meat Processing Training Package Version 5.0.</w:t>
            </w:r>
          </w:p>
        </w:tc>
      </w:tr>
    </w:tbl>
    <w:p w:rsidR="00000000" w:rsidRPr="003C710B" w:rsidP="003C710B">
      <w:pPr>
        <w:pStyle w:val="BodyText"/>
      </w:pP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10" w:name="O_1142407"/>
      <w:bookmarkEnd w:id="10"/>
      <w:r w:rsidRPr="003C710B">
        <w:t>Performance Evidence</w:t>
      </w:r>
    </w:p>
    <w:p w:rsidR="00000000" w:rsidRPr="003C710B" w:rsidP="00362084">
      <w:pPr>
        <w:pStyle w:val="BodyText"/>
      </w:pPr>
      <w:r w:rsidRPr="003C710B">
        <w:t>An individual demonstrating competency must satisfy all of the elements and p</w:t>
      </w:r>
      <w:r w:rsidRPr="003C710B">
        <w:t xml:space="preserve">erformance criteria in this unit. </w:t>
      </w:r>
    </w:p>
    <w:p w:rsidR="00000000" w:rsidRPr="003C710B" w:rsidP="00362084">
      <w:pPr>
        <w:pStyle w:val="BodyText"/>
      </w:pPr>
      <w:r w:rsidRPr="003C710B">
        <w:t>There must be evidence that the individual has monitored a minimum of three shipments of product to be sent to rendering, including:</w:t>
      </w:r>
    </w:p>
    <w:p w:rsidR="00000000" w:rsidRPr="003C710B" w:rsidP="003C710B">
      <w:pPr>
        <w:pStyle w:val="ListBullet"/>
      </w:pPr>
      <w:r w:rsidRPr="003C710B">
        <w:t>processed and undertaken corrective action for the presence foreign matter</w:t>
      </w:r>
    </w:p>
    <w:p w:rsidR="00000000" w:rsidRPr="003C710B" w:rsidP="003C710B">
      <w:pPr>
        <w:pStyle w:val="ListBullet"/>
      </w:pPr>
      <w:r w:rsidRPr="003C710B">
        <w:t>complied with the renderer</w:t>
      </w:r>
      <w:r>
        <w:t>’</w:t>
      </w:r>
      <w:r w:rsidRPr="003C710B">
        <w:t xml:space="preserve">s specifications </w:t>
      </w:r>
    </w:p>
    <w:p w:rsidR="00000000" w:rsidRPr="003C710B" w:rsidP="003C710B">
      <w:pPr>
        <w:pStyle w:val="ListBullet"/>
      </w:pPr>
      <w:r w:rsidRPr="003C710B">
        <w:t>identified and documented the implementation of a strategy to improve overall performance</w:t>
      </w: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11" w:name="O_1142408"/>
      <w:bookmarkEnd w:id="11"/>
      <w:r w:rsidRPr="003C710B">
        <w:t>Knowledge Evidence</w:t>
      </w:r>
    </w:p>
    <w:p w:rsidR="00000000" w:rsidRPr="003C710B" w:rsidP="00362084">
      <w:pPr>
        <w:pStyle w:val="BodyText"/>
      </w:pPr>
      <w:r w:rsidRPr="003C710B">
        <w:t>An individual must be able to demonstrate the knowledge required to perform the tasks outlined in the elements and performance criteria of this unit. This includes knowledge of:</w:t>
      </w:r>
    </w:p>
    <w:p w:rsidR="00000000" w:rsidRPr="003C710B" w:rsidP="003C710B">
      <w:pPr>
        <w:pStyle w:val="ListBullet"/>
      </w:pPr>
      <w:r w:rsidRPr="003C710B">
        <w:t>purpose and types of rendering products</w:t>
      </w:r>
    </w:p>
    <w:p w:rsidR="00000000" w:rsidRPr="003C710B" w:rsidP="003C710B">
      <w:pPr>
        <w:pStyle w:val="ListBullet"/>
      </w:pPr>
      <w:r w:rsidRPr="003C710B">
        <w:t>commercial uses of rendered product</w:t>
      </w:r>
    </w:p>
    <w:p w:rsidR="00000000" w:rsidRPr="003C710B" w:rsidP="003C710B">
      <w:pPr>
        <w:pStyle w:val="ListBullet"/>
      </w:pPr>
      <w:r w:rsidRPr="003C710B">
        <w:t>s</w:t>
      </w:r>
      <w:r w:rsidRPr="003C710B">
        <w:t xml:space="preserve">equence of the rendering process </w:t>
      </w:r>
    </w:p>
    <w:p w:rsidR="00000000" w:rsidRPr="003C710B" w:rsidP="003C710B">
      <w:pPr>
        <w:pStyle w:val="ListBullet"/>
      </w:pPr>
      <w:r w:rsidRPr="003C710B">
        <w:t xml:space="preserve">consequences of the presence of foreign matter </w:t>
      </w:r>
    </w:p>
    <w:p w:rsidR="00000000" w:rsidRPr="003C710B" w:rsidP="003C710B">
      <w:pPr>
        <w:pStyle w:val="ListBullet"/>
      </w:pPr>
      <w:r w:rsidRPr="003C710B">
        <w:t xml:space="preserve">strategies to detect and reduce the presence of foreign matter </w:t>
      </w:r>
    </w:p>
    <w:p w:rsidR="00000000" w:rsidRPr="003C710B" w:rsidP="003C710B">
      <w:pPr>
        <w:pStyle w:val="ListBullet"/>
      </w:pPr>
      <w:r w:rsidRPr="003C710B">
        <w:t xml:space="preserve">hygiene and sanitation requirements applicable to product for rendering </w:t>
      </w:r>
    </w:p>
    <w:p w:rsidR="00000000" w:rsidRPr="003C710B" w:rsidP="003C710B">
      <w:pPr>
        <w:pStyle w:val="ListBullet"/>
      </w:pPr>
      <w:r w:rsidRPr="003C710B">
        <w:t>environmental requirements, including</w:t>
      </w:r>
      <w:r w:rsidRPr="003C710B">
        <w:t xml:space="preserve"> temperature and age of the material, relevant to the storage of product for rendering and the disposal of foreign matter. </w:t>
      </w:r>
    </w:p>
    <w:p w:rsidR="00000000" w:rsidRPr="003C710B" w:rsidP="003C710B">
      <w:pPr>
        <w:pStyle w:val="AllowPageBreak"/>
      </w:pPr>
    </w:p>
    <w:p w:rsidR="00000000" w:rsidRPr="003C710B" w:rsidP="003C710B">
      <w:pPr>
        <w:pStyle w:val="Heading1"/>
      </w:pPr>
      <w:bookmarkStart w:id="12" w:name="O_1142409"/>
      <w:bookmarkEnd w:id="12"/>
      <w:r w:rsidRPr="003C710B">
        <w:t>Assessment Conditions</w:t>
      </w:r>
    </w:p>
    <w:p w:rsidR="00000000" w:rsidRPr="003C710B" w:rsidP="00362084">
      <w:pPr>
        <w:pStyle w:val="BodyText"/>
      </w:pPr>
      <w:r w:rsidRPr="003C710B">
        <w:t>Assessment of the skills in this unit of competency must take place under the following con</w:t>
      </w:r>
      <w:r w:rsidRPr="003C710B">
        <w:t>ditions:</w:t>
      </w:r>
    </w:p>
    <w:p w:rsidR="00000000" w:rsidRPr="003C710B" w:rsidP="003C710B">
      <w:pPr>
        <w:pStyle w:val="ListBullet"/>
      </w:pPr>
      <w:r w:rsidRPr="003C710B">
        <w:t>physical conditions:</w:t>
      </w:r>
    </w:p>
    <w:p w:rsidR="00000000" w:rsidRPr="003C710B" w:rsidP="003C710B">
      <w:pPr>
        <w:pStyle w:val="ListBullet2"/>
      </w:pPr>
      <w:r w:rsidRPr="003C710B">
        <w:t xml:space="preserve">skills must be demonstrated in an operating food processing premises where by-products are regularly sent to rendering either on-site or off-site </w:t>
      </w:r>
    </w:p>
    <w:p w:rsidR="00000000" w:rsidRPr="003C710B" w:rsidP="003C710B">
      <w:pPr>
        <w:pStyle w:val="ListBullet"/>
      </w:pPr>
      <w:r w:rsidRPr="003C710B">
        <w:t>resources, equipment and materials:</w:t>
      </w:r>
    </w:p>
    <w:p w:rsidR="00000000" w:rsidRPr="003C710B" w:rsidP="003C710B">
      <w:pPr>
        <w:pStyle w:val="ListBullet2"/>
      </w:pPr>
      <w:r w:rsidRPr="003C710B">
        <w:t xml:space="preserve">quantities of by-product destined for rendering consistent with regular production </w:t>
      </w:r>
    </w:p>
    <w:p w:rsidR="00000000" w:rsidRPr="003C710B" w:rsidP="003C710B">
      <w:pPr>
        <w:pStyle w:val="ListBullet2"/>
      </w:pPr>
      <w:r w:rsidRPr="003C710B">
        <w:t xml:space="preserve">foreign matter detection, sorting and removal equipment used in the workplace </w:t>
      </w:r>
    </w:p>
    <w:p w:rsidR="00000000" w:rsidRPr="003C710B" w:rsidP="003C710B">
      <w:pPr>
        <w:pStyle w:val="ListBullet2"/>
      </w:pPr>
      <w:r w:rsidRPr="003C710B">
        <w:t xml:space="preserve">items of personal protective equipment specified in workplace requirements </w:t>
      </w:r>
    </w:p>
    <w:p w:rsidR="00000000" w:rsidRPr="003C710B" w:rsidP="003C710B">
      <w:pPr>
        <w:pStyle w:val="ListBullet"/>
      </w:pPr>
      <w:r>
        <w:t>•</w:t>
      </w:r>
      <w:r>
        <w:tab/>
      </w:r>
      <w:r w:rsidRPr="003C710B">
        <w:t>specifications:</w:t>
      </w:r>
    </w:p>
    <w:p w:rsidR="00000000" w:rsidRPr="003C710B" w:rsidP="003C710B">
      <w:pPr>
        <w:pStyle w:val="ListBullet2"/>
      </w:pPr>
      <w:r w:rsidRPr="003C710B">
        <w:t>access to renderer</w:t>
      </w:r>
      <w:r>
        <w:t>’</w:t>
      </w:r>
      <w:r w:rsidRPr="003C710B">
        <w:t>s specifications</w:t>
      </w:r>
    </w:p>
    <w:p w:rsidR="00000000" w:rsidRPr="003C710B" w:rsidP="003C710B">
      <w:pPr>
        <w:pStyle w:val="ListBullet2"/>
      </w:pPr>
      <w:r w:rsidRPr="003C710B">
        <w:t>access to specific workplace documents such as policies, procedures, processes and forms relating to product for rendering</w:t>
      </w:r>
    </w:p>
    <w:p w:rsidR="00000000" w:rsidRPr="003C710B" w:rsidP="003C710B">
      <w:pPr>
        <w:pStyle w:val="ListBullet2"/>
      </w:pPr>
      <w:r w:rsidRPr="003C710B">
        <w:t>manufacturer’s operating instructions for specific equipment, machinery, etc.</w:t>
      </w:r>
    </w:p>
    <w:p w:rsidR="00000000" w:rsidRPr="003C710B" w:rsidP="003C710B">
      <w:pPr>
        <w:pStyle w:val="ListBullet2"/>
      </w:pPr>
      <w:r w:rsidRPr="003C710B">
        <w:t>access to specifi</w:t>
      </w:r>
      <w:r w:rsidRPr="003C710B">
        <w:t xml:space="preserve">c legislation/codes of practice relating to product for rendering and disposal of foreign matter </w:t>
      </w:r>
    </w:p>
    <w:p w:rsidR="00000000" w:rsidRPr="003C710B" w:rsidP="003C710B">
      <w:pPr>
        <w:pStyle w:val="ListBullet"/>
      </w:pPr>
      <w:r w:rsidRPr="003C710B">
        <w:t xml:space="preserve">relationships: </w:t>
      </w:r>
    </w:p>
    <w:p w:rsidR="00000000" w:rsidRPr="003C710B" w:rsidP="003C710B">
      <w:pPr>
        <w:pStyle w:val="ListBullet2"/>
      </w:pPr>
      <w:r w:rsidRPr="003C710B">
        <w:t>team member(s), supervisor(s).</w:t>
      </w:r>
    </w:p>
    <w:p w:rsidR="00000000" w:rsidRPr="003C710B" w:rsidP="00362084">
      <w:pPr>
        <w:pStyle w:val="BodyText"/>
      </w:pPr>
      <w:r w:rsidRPr="003C710B">
        <w:t>As a minimum, the following three forms of assessment must be used:</w:t>
      </w:r>
    </w:p>
    <w:p w:rsidR="00000000" w:rsidRPr="003C710B" w:rsidP="003C710B">
      <w:pPr>
        <w:pStyle w:val="ListBullet"/>
      </w:pPr>
      <w:r w:rsidRPr="003C710B">
        <w:t>workplace referee report</w:t>
      </w:r>
    </w:p>
    <w:p w:rsidR="00000000" w:rsidRPr="003C710B" w:rsidP="003C710B">
      <w:pPr>
        <w:pStyle w:val="ListBullet"/>
      </w:pPr>
      <w:r w:rsidRPr="003C710B">
        <w:t>knowledge test or quiz</w:t>
      </w:r>
    </w:p>
    <w:p w:rsidR="00000000" w:rsidRPr="003C710B" w:rsidP="003C710B">
      <w:pPr>
        <w:pStyle w:val="ListBullet"/>
      </w:pPr>
      <w:r w:rsidRPr="003C710B">
        <w:t xml:space="preserve">workplace demonstration with assessor observation. </w:t>
      </w:r>
    </w:p>
    <w:p w:rsidR="00000000" w:rsidRPr="003C710B" w:rsidP="00362084">
      <w:pPr>
        <w:pStyle w:val="BodyText"/>
      </w:pPr>
      <w:r w:rsidRPr="003C710B">
        <w:t>Assessors of this unit must satisfy the requirements for assessors in applicable vocational education and training legislation, frameworks and/or standards.</w:t>
      </w:r>
    </w:p>
    <w:p w:rsidR="00000000" w:rsidRPr="003C710B" w:rsidP="003C710B">
      <w:pPr>
        <w:pStyle w:val="Heading1"/>
      </w:pPr>
      <w:bookmarkStart w:id="13" w:name="O_1142412"/>
      <w:bookmarkEnd w:id="13"/>
      <w:r w:rsidRPr="003C710B">
        <w:t>Links</w:t>
      </w:r>
    </w:p>
    <w:p w:rsidR="00000000" w:rsidRPr="003C710B" w:rsidP="00362084">
      <w:pPr>
        <w:pStyle w:val="BodyText"/>
      </w:pPr>
      <w:r w:rsidRPr="003C71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42A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C710B" w:rsidP="003C710B"/>
    <w:sectPr w:rsidSect="003C71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 w:rsidRPr="00362084" w:rsidP="003620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084" w:rsidP="003C7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084" w:rsidP="003C7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2084" w:rsidP="003C71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 w:rsidP="003C7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084">
      <w:t>Approved</w:t>
    </w:r>
    <w:r w:rsidR="003620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0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084">
      <w:rPr>
        <w:noProof/>
      </w:rPr>
      <w:t>4</w:t>
    </w:r>
    <w:r>
      <w:rPr>
        <w:noProof/>
      </w:rPr>
      <w:fldChar w:fldCharType="end"/>
    </w:r>
  </w:p>
  <w:p w:rsidR="003C710B" w:rsidP="003C7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0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084">
      <w:t>Skills Insight</w:t>
    </w:r>
    <w:r w:rsidR="00362084">
      <w:fldChar w:fldCharType="end"/>
    </w:r>
  </w:p>
  <w:p w:rsidR="003C710B" w:rsidP="003C7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0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10B" w:rsidRPr="00362084" w:rsidP="003620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084" w:rsidRPr="002D2AF8" w:rsidP="003C7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AMPX316 Monitor product to be sent to rendering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2084" w:rsidP="003C71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10B" w:rsidRPr="002D2AF8" w:rsidP="003C7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084">
      <w:t>AMPX316 Monitor product to be sent to rendering</w:t>
    </w:r>
    <w:r w:rsidR="003620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084">
      <w:rPr>
        <w:noProof/>
      </w:rPr>
      <w:t>1 March 2025</w:t>
    </w:r>
    <w:r>
      <w:fldChar w:fldCharType="end"/>
    </w:r>
  </w:p>
  <w:p w:rsidR="003C710B" w:rsidP="003C7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CA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A6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CC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10B"/>
  </w:style>
  <w:style w:type="character" w:customStyle="1" w:styleId="Heading1Char">
    <w:name w:val="Heading 1 Char"/>
    <w:basedOn w:val="DefaultParagraphFont"/>
    <w:link w:val="Heading1"/>
    <w:rsid w:val="003C7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1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1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710B"/>
    <w:rPr>
      <w:i/>
    </w:rPr>
  </w:style>
  <w:style w:type="paragraph" w:customStyle="1" w:styleId="SuperHeading">
    <w:name w:val="SuperHeading"/>
    <w:basedOn w:val="Normal"/>
    <w:rsid w:val="003C7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710B"/>
    <w:rPr>
      <w:b/>
    </w:rPr>
  </w:style>
  <w:style w:type="character" w:customStyle="1" w:styleId="Heading2Char">
    <w:name w:val="Heading 2 Char"/>
    <w:basedOn w:val="DefaultParagraphFont"/>
    <w:link w:val="Heading2"/>
    <w:rsid w:val="003C7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10B"/>
    <w:rPr>
      <w:b/>
      <w:spacing w:val="0"/>
    </w:rPr>
  </w:style>
  <w:style w:type="paragraph" w:customStyle="1" w:styleId="SuperTitle">
    <w:name w:val="SuperTitle"/>
    <w:basedOn w:val="Title"/>
    <w:rsid w:val="003C7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1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10B"/>
  </w:style>
  <w:style w:type="paragraph" w:styleId="TableofFigures">
    <w:name w:val="table of figures"/>
    <w:basedOn w:val="Normal"/>
    <w:next w:val="Normal"/>
    <w:semiHidden/>
    <w:rsid w:val="003C7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1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10B"/>
    <w:rPr>
      <w:rFonts w:ascii="Wingdings" w:hAnsi="Wingdings"/>
    </w:rPr>
  </w:style>
  <w:style w:type="paragraph" w:customStyle="1" w:styleId="TableHeading">
    <w:name w:val="Table Heading"/>
    <w:basedOn w:val="HeadingBase"/>
    <w:rsid w:val="003C7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10B"/>
    <w:rPr>
      <w:color w:val="0033CC"/>
      <w:u w:val="none"/>
    </w:rPr>
  </w:style>
  <w:style w:type="paragraph" w:customStyle="1" w:styleId="BodyTextRight">
    <w:name w:val="Body Text Right"/>
    <w:basedOn w:val="BodyText"/>
    <w:rsid w:val="003C7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1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10B"/>
    <w:rPr>
      <w:sz w:val="32"/>
    </w:rPr>
  </w:style>
  <w:style w:type="paragraph" w:customStyle="1" w:styleId="HeadingProcedure">
    <w:name w:val="Heading Procedure"/>
    <w:basedOn w:val="HeadingBase"/>
    <w:next w:val="Normal"/>
    <w:rsid w:val="003C7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10B"/>
    <w:pPr>
      <w:spacing w:before="60" w:after="60"/>
    </w:pPr>
  </w:style>
  <w:style w:type="paragraph" w:styleId="ListContinue">
    <w:name w:val="List Continue"/>
    <w:basedOn w:val="List"/>
    <w:rsid w:val="003C710B"/>
    <w:pPr>
      <w:ind w:firstLine="0"/>
    </w:pPr>
  </w:style>
  <w:style w:type="paragraph" w:customStyle="1" w:styleId="ListNote">
    <w:name w:val="List Note"/>
    <w:basedOn w:val="List"/>
    <w:rsid w:val="003C7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10B"/>
    <w:rPr>
      <w:rFonts w:ascii="Courier New" w:hAnsi="Courier New"/>
    </w:rPr>
  </w:style>
  <w:style w:type="paragraph" w:customStyle="1" w:styleId="NoteBullet">
    <w:name w:val="Note Bullet"/>
    <w:basedOn w:val="Note"/>
    <w:rsid w:val="003C7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1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10B"/>
    <w:rPr>
      <w:b/>
      <w:smallCaps/>
    </w:rPr>
  </w:style>
  <w:style w:type="paragraph" w:customStyle="1" w:styleId="TableListNumber">
    <w:name w:val="Table List Number"/>
    <w:basedOn w:val="ListNumber"/>
    <w:rsid w:val="003C7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10B"/>
    <w:pPr>
      <w:numPr>
        <w:numId w:val="9"/>
      </w:numPr>
    </w:pPr>
  </w:style>
  <w:style w:type="paragraph" w:customStyle="1" w:styleId="ListAlpha2">
    <w:name w:val="List Alpha 2"/>
    <w:basedOn w:val="List2"/>
    <w:rsid w:val="003C710B"/>
    <w:pPr>
      <w:numPr>
        <w:numId w:val="8"/>
      </w:numPr>
    </w:pPr>
  </w:style>
  <w:style w:type="paragraph" w:styleId="List2">
    <w:name w:val="List 2"/>
    <w:basedOn w:val="BodyText"/>
    <w:rsid w:val="003C7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1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1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10B"/>
    <w:pPr>
      <w:numPr>
        <w:numId w:val="4"/>
      </w:numPr>
    </w:pPr>
  </w:style>
  <w:style w:type="paragraph" w:styleId="ListContinue2">
    <w:name w:val="List Continue 2"/>
    <w:basedOn w:val="List2"/>
    <w:rsid w:val="003C710B"/>
    <w:pPr>
      <w:ind w:firstLine="0"/>
    </w:pPr>
  </w:style>
  <w:style w:type="paragraph" w:styleId="ListContinue3">
    <w:name w:val="List Continue 3"/>
    <w:basedOn w:val="List3"/>
    <w:rsid w:val="003C710B"/>
    <w:pPr>
      <w:ind w:left="1021" w:firstLine="0"/>
    </w:pPr>
  </w:style>
  <w:style w:type="paragraph" w:styleId="ListContinue4">
    <w:name w:val="List Continue 4"/>
    <w:basedOn w:val="List4"/>
    <w:rsid w:val="003C710B"/>
    <w:pPr>
      <w:ind w:firstLine="0"/>
    </w:pPr>
  </w:style>
  <w:style w:type="paragraph" w:styleId="ListContinue5">
    <w:name w:val="List Continue 5"/>
    <w:basedOn w:val="List5"/>
    <w:rsid w:val="003C710B"/>
    <w:pPr>
      <w:ind w:firstLine="0"/>
    </w:pPr>
  </w:style>
  <w:style w:type="paragraph" w:styleId="ListNumber3">
    <w:name w:val="List Number 3"/>
    <w:basedOn w:val="List3"/>
    <w:rsid w:val="003C710B"/>
    <w:pPr>
      <w:numPr>
        <w:numId w:val="5"/>
      </w:numPr>
    </w:pPr>
  </w:style>
  <w:style w:type="paragraph" w:styleId="ListNumber4">
    <w:name w:val="List Number 4"/>
    <w:basedOn w:val="List4"/>
    <w:rsid w:val="003C710B"/>
    <w:pPr>
      <w:numPr>
        <w:numId w:val="6"/>
      </w:numPr>
    </w:pPr>
  </w:style>
  <w:style w:type="paragraph" w:styleId="ListNumber5">
    <w:name w:val="List Number 5"/>
    <w:basedOn w:val="List5"/>
    <w:rsid w:val="003C710B"/>
    <w:pPr>
      <w:numPr>
        <w:numId w:val="7"/>
      </w:numPr>
    </w:pPr>
  </w:style>
  <w:style w:type="paragraph" w:styleId="BlockText">
    <w:name w:val="Block Text"/>
    <w:basedOn w:val="Normal"/>
    <w:rsid w:val="003C7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10B"/>
    <w:rPr>
      <w:sz w:val="16"/>
      <w:vertAlign w:val="superscript"/>
    </w:rPr>
  </w:style>
  <w:style w:type="character" w:customStyle="1" w:styleId="Symbols">
    <w:name w:val="Symbols"/>
    <w:basedOn w:val="DefaultParagraphFont"/>
    <w:rsid w:val="003C710B"/>
    <w:rPr>
      <w:rFonts w:ascii="Symbol" w:hAnsi="Symbol"/>
    </w:rPr>
  </w:style>
  <w:style w:type="character" w:customStyle="1" w:styleId="MenuOptions">
    <w:name w:val="Menu Options"/>
    <w:basedOn w:val="DefaultParagraphFont"/>
    <w:rsid w:val="003C7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10B"/>
    <w:rPr>
      <w:b/>
    </w:rPr>
  </w:style>
  <w:style w:type="character" w:customStyle="1" w:styleId="Underlined">
    <w:name w:val="Underlined"/>
    <w:basedOn w:val="DefaultParagraphFont"/>
    <w:rsid w:val="003C710B"/>
    <w:rPr>
      <w:u w:val="single"/>
    </w:rPr>
  </w:style>
  <w:style w:type="paragraph" w:customStyle="1" w:styleId="TableBodyTextRight">
    <w:name w:val="Table Body Text Right"/>
    <w:basedOn w:val="TableBodyText"/>
    <w:rsid w:val="003C7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10B"/>
    <w:rPr>
      <w:sz w:val="18"/>
    </w:rPr>
  </w:style>
  <w:style w:type="paragraph" w:customStyle="1" w:styleId="BodySmallRight">
    <w:name w:val="Body Small Right"/>
    <w:basedOn w:val="BodyTextRight"/>
    <w:rsid w:val="003C710B"/>
    <w:rPr>
      <w:sz w:val="18"/>
      <w:szCs w:val="18"/>
    </w:rPr>
  </w:style>
  <w:style w:type="paragraph" w:customStyle="1" w:styleId="MarginEdition">
    <w:name w:val="Margin Edition"/>
    <w:basedOn w:val="MarginNote"/>
    <w:rsid w:val="003C7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10B"/>
    <w:rPr>
      <w:sz w:val="2"/>
      <w:szCs w:val="2"/>
    </w:rPr>
  </w:style>
  <w:style w:type="character" w:customStyle="1" w:styleId="Small">
    <w:name w:val="Small"/>
    <w:basedOn w:val="DefaultParagraphFont"/>
    <w:rsid w:val="003C710B"/>
    <w:rPr>
      <w:sz w:val="16"/>
    </w:rPr>
  </w:style>
  <w:style w:type="paragraph" w:customStyle="1" w:styleId="WideTable">
    <w:name w:val="Wide Table"/>
    <w:basedOn w:val="Normal"/>
    <w:rsid w:val="003C7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10B"/>
  </w:style>
  <w:style w:type="paragraph" w:styleId="Quote">
    <w:name w:val="Quote"/>
    <w:basedOn w:val="Heading1"/>
    <w:link w:val="QuoteChar"/>
    <w:qFormat/>
    <w:rsid w:val="003C7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10B"/>
    <w:pPr>
      <w:pageBreakBefore/>
    </w:pPr>
  </w:style>
  <w:style w:type="paragraph" w:customStyle="1" w:styleId="Border">
    <w:name w:val="Border"/>
    <w:basedOn w:val="Normal"/>
    <w:qFormat/>
    <w:rsid w:val="003C7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10B"/>
    <w:rPr>
      <w:u w:val="single"/>
    </w:rPr>
  </w:style>
  <w:style w:type="character" w:customStyle="1" w:styleId="BoldandItalics">
    <w:name w:val="Bold and Italics"/>
    <w:qFormat/>
    <w:rsid w:val="003C710B"/>
    <w:rPr>
      <w:b/>
      <w:i/>
      <w:u w:val="none"/>
    </w:rPr>
  </w:style>
  <w:style w:type="paragraph" w:styleId="BalloonText">
    <w:name w:val="Balloon Text"/>
    <w:basedOn w:val="Normal"/>
    <w:link w:val="BalloonTextChar"/>
    <w:rsid w:val="003C7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1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20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5816</Characters>
  <Application>Microsoft Office Word</Application>
  <DocSecurity>0</DocSecurity>
  <Lines>181</Lines>
  <Paragraphs>124</Paragraphs>
  <ScaleCrop>false</ScaleCrop>
  <Company>Author-it Software Corporation Ltd.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AMPX316 Monitor product to be sent to rendering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2025-03-01T09:15:00Z</dcterms:created>
  <dcterms:modified xsi:type="dcterms:W3CDTF">2025-03-01T09:15:00Z</dcterms:modified>
</cp:coreProperties>
</file>