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38FD" w:rsidP="007A3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AMPX312 Calculate carcase yield in a boning room</w:t>
      </w:r>
      <w:r>
        <w:fldChar w:fldCharType="end"/>
      </w:r>
    </w:p>
    <w:p w:rsidR="007A38FD" w:rsidP="007A38FD">
      <w:pPr>
        <w:pStyle w:val="Version"/>
        <w:sectPr w:rsidSect="00CF0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BE" w:rsidP="00CF00BE">
      <w:pPr>
        <w:pStyle w:val="SuperHeading"/>
      </w:pPr>
      <w:r w:rsidRPr="00CF00BE">
        <w:t>AMPX312 Calculate carcase yield in a boning room</w:t>
      </w:r>
    </w:p>
    <w:p w:rsidR="00000000" w:rsidRPr="00CF00BE" w:rsidP="00CF00BE">
      <w:pPr>
        <w:pStyle w:val="Heading1"/>
      </w:pPr>
      <w:bookmarkStart w:id="1" w:name="O_973715"/>
      <w:bookmarkEnd w:id="1"/>
      <w:r w:rsidRPr="00CF00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F0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rPr>
                <w:rStyle w:val="SpecialBold"/>
              </w:rPr>
              <w:t>Comments</w:t>
            </w:r>
          </w:p>
        </w:tc>
      </w:tr>
      <w:tr w:rsidTr="00CF00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This version released with AMP Australian Meat Industry Training Package Version 3.0.</w:t>
            </w:r>
          </w:p>
        </w:tc>
      </w:tr>
    </w:tbl>
    <w:p w:rsidR="00000000" w:rsidRPr="00CF00BE" w:rsidP="00CF00BE">
      <w:pPr>
        <w:pStyle w:val="BodyText"/>
      </w:pPr>
    </w:p>
    <w:p w:rsidR="00000000" w:rsidRPr="00CF00BE" w:rsidP="00CF00BE">
      <w:pPr>
        <w:pStyle w:val="AllowPageBreak"/>
      </w:pPr>
    </w:p>
    <w:p w:rsidR="00000000" w:rsidRPr="00CF00BE" w:rsidP="00CF00BE">
      <w:pPr>
        <w:pStyle w:val="Heading1"/>
      </w:pPr>
      <w:bookmarkStart w:id="2" w:name="O_973716"/>
      <w:bookmarkEnd w:id="2"/>
      <w:r w:rsidRPr="00CF00BE">
        <w:t>Application</w:t>
      </w:r>
    </w:p>
    <w:p w:rsidR="00000000" w:rsidRPr="00CF00BE" w:rsidP="007A38FD">
      <w:pPr>
        <w:pStyle w:val="BodyText"/>
      </w:pPr>
      <w:r w:rsidRPr="00CF00BE">
        <w:t>This unit describes the skills and knowledge required to calculate carcase and pro</w:t>
      </w:r>
      <w:r w:rsidRPr="00CF00BE">
        <w:t>duct yield rates in a boning room. It also covers the causes of variation in yields achieved in a boning room.</w:t>
      </w:r>
    </w:p>
    <w:p w:rsidR="00000000" w:rsidRPr="00CF00BE" w:rsidP="007A38FD">
      <w:pPr>
        <w:pStyle w:val="BodyText"/>
      </w:pPr>
      <w:r w:rsidRPr="00CF00BE">
        <w:t xml:space="preserve">This unit is applicable to Quality Assurance officers and boning room supervisors who are required to calculate carcase and product yields for a </w:t>
      </w:r>
      <w:r w:rsidRPr="00CF00BE">
        <w:t>variety of classes of stock. Individuals work under broad direction and take responsibility for their own work and provide and communicate solutions to a range of predictable problems.</w:t>
      </w:r>
    </w:p>
    <w:p w:rsidR="00000000" w:rsidRPr="00CF00BE" w:rsidP="007A38FD">
      <w:pPr>
        <w:pStyle w:val="BodyText"/>
      </w:pPr>
      <w:r w:rsidRPr="00CF00BE">
        <w:t>No occupational licensing, legislative or certification requirements ar</w:t>
      </w:r>
      <w:r w:rsidRPr="00CF00BE">
        <w:t>e known to apply to this unit at the time of publication.</w:t>
      </w:r>
    </w:p>
    <w:p w:rsidR="00000000" w:rsidRPr="00CF00BE" w:rsidP="007A38FD">
      <w:pPr>
        <w:pStyle w:val="BodyText"/>
      </w:pPr>
      <w:r w:rsidRPr="00CF00BE">
        <w:t>All work must be carried out to comply with workplace procedures, customer requirements, product specifications, work health and safety and hygiene requirements and Australian meat processing standa</w:t>
      </w:r>
      <w:r w:rsidRPr="00CF00BE">
        <w:t xml:space="preserve">rds and regulations. </w:t>
      </w:r>
    </w:p>
    <w:p w:rsidR="00000000" w:rsidRPr="00CF00BE" w:rsidP="00CF00BE">
      <w:pPr>
        <w:pStyle w:val="Heading1"/>
      </w:pPr>
      <w:bookmarkStart w:id="3" w:name="O_973717"/>
      <w:bookmarkEnd w:id="3"/>
      <w:r w:rsidRPr="00CF00BE">
        <w:t>Pre-requisite Unit</w:t>
      </w:r>
    </w:p>
    <w:p w:rsidR="00000000" w:rsidRPr="00CF00BE" w:rsidP="007A38FD">
      <w:pPr>
        <w:pStyle w:val="BodyText"/>
      </w:pPr>
      <w:r w:rsidRPr="00CF00BE">
        <w:t>Nil</w:t>
      </w:r>
    </w:p>
    <w:p w:rsidR="00000000" w:rsidRPr="00CF00BE" w:rsidP="00CF00BE">
      <w:pPr>
        <w:pStyle w:val="Heading1"/>
      </w:pPr>
      <w:bookmarkStart w:id="4" w:name="O_973720"/>
      <w:bookmarkEnd w:id="4"/>
      <w:r w:rsidRPr="00CF00BE">
        <w:t>Elements and Performance Criteria</w:t>
      </w:r>
    </w:p>
    <w:tbl>
      <w:tblPr>
        <w:tblW w:w="938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801"/>
      </w:tblGrid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 xml:space="preserve">Elements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rPr>
                <w:rStyle w:val="SpecialBold"/>
              </w:rPr>
              <w:t xml:space="preserve">Performance criteria 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Emphasis"/>
              </w:rPr>
              <w:t xml:space="preserve">Elements describe the </w:t>
            </w:r>
            <w:r w:rsidRPr="00CF00BE">
              <w:t xml:space="preserve">essential </w:t>
            </w:r>
            <w:r w:rsidRPr="00CF00BE">
              <w:rPr>
                <w:rStyle w:val="Emphasis"/>
              </w:rPr>
              <w:t>outcomes.</w:t>
            </w:r>
          </w:p>
        </w:tc>
        <w:tc>
          <w:tcPr>
            <w:tcW w:w="68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1. List classes of stock for yield calculation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 xml:space="preserve">1.1 Establish the classes of stock that impact on carcase yields </w:t>
            </w:r>
          </w:p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1.2 Determine the variables that impact on car</w:t>
            </w:r>
            <w:r w:rsidRPr="00CF00BE">
              <w:t>case yields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2. Calculate yield of a single carcase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2.1 Establish the carcase weight to be used for calculation according to workplace specifications</w:t>
            </w:r>
          </w:p>
          <w:p w:rsidR="00000000" w:rsidRPr="00CF00BE" w:rsidP="00CF00BE">
            <w:pPr>
              <w:pStyle w:val="BodyText"/>
            </w:pPr>
            <w:r w:rsidRPr="00CF00BE">
              <w:t xml:space="preserve">2.2 Confirm class of stock to be assessed according to workplace </w:t>
            </w:r>
            <w:r w:rsidRPr="00CF00BE">
              <w:t>requirements</w:t>
            </w:r>
          </w:p>
          <w:p w:rsidR="00000000" w:rsidRPr="00CF00BE" w:rsidP="00CF00BE">
            <w:pPr>
              <w:pStyle w:val="BodyText"/>
            </w:pPr>
            <w:r w:rsidRPr="00CF00BE">
              <w:t>2.3 Identify and weigh cuts that constitute a full set</w:t>
            </w:r>
          </w:p>
          <w:p w:rsidR="00000000" w:rsidRPr="00CF00BE" w:rsidP="00CF00BE">
            <w:pPr>
              <w:pStyle w:val="BodyText"/>
            </w:pPr>
            <w:r w:rsidRPr="00CF00BE">
              <w:t>2.4 Identify and weigh other meat products recovered including trim and other meat recovered</w:t>
            </w:r>
          </w:p>
          <w:p w:rsidR="00000000" w:rsidRPr="00CF00BE" w:rsidP="00CF00BE">
            <w:pPr>
              <w:pStyle w:val="BodyText"/>
            </w:pPr>
            <w:r w:rsidRPr="00CF00BE">
              <w:t xml:space="preserve">2.5 Identify and weigh fat and bones including rib frames and H bone waste </w:t>
            </w:r>
          </w:p>
          <w:p w:rsidR="00000000" w:rsidRPr="00CF00BE" w:rsidP="00CF00BE">
            <w:pPr>
              <w:pStyle w:val="BodyText"/>
            </w:pPr>
            <w:r w:rsidRPr="00CF00BE">
              <w:t>2.6 Calculate percentage yield o</w:t>
            </w:r>
            <w:r w:rsidRPr="00CF00BE">
              <w:t>f the full set, total meat, fat and bone</w:t>
            </w:r>
          </w:p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2.7 Perform tasks in accordance with work health and safety, hygiene and workplace requirements.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3. Calculate yield of a single product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3.1 Identify and weigh individual cuts to calculate yield</w:t>
            </w:r>
          </w:p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3.2 Calculate percen</w:t>
            </w:r>
            <w:r w:rsidRPr="00CF00BE">
              <w:t>tage yield for each muscle group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4. Calculate carcase and product yield for a production period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4.1 Identify and collect production run weights for cuts that constitute the full set</w:t>
            </w:r>
          </w:p>
          <w:p w:rsidR="00000000" w:rsidRPr="00CF00BE" w:rsidP="00CF00BE">
            <w:pPr>
              <w:pStyle w:val="BodyText"/>
            </w:pPr>
            <w:r w:rsidRPr="00CF00BE">
              <w:t>4.2 Identify and collect production run weights for other meat recovered</w:t>
            </w:r>
          </w:p>
          <w:p w:rsidR="00000000" w:rsidRPr="00CF00BE" w:rsidP="00CF00BE">
            <w:pPr>
              <w:pStyle w:val="BodyText"/>
            </w:pPr>
            <w:r w:rsidRPr="00CF00BE">
              <w:t xml:space="preserve">4.3 Calculate total meat yield </w:t>
            </w:r>
          </w:p>
          <w:p w:rsidR="00000000" w:rsidRPr="00CF00BE" w:rsidP="00CF00BE">
            <w:pPr>
              <w:pStyle w:val="BodyText"/>
            </w:pPr>
            <w:r w:rsidRPr="00CF00BE">
              <w:t xml:space="preserve">4.4 Determine appropriate expected yields </w:t>
            </w:r>
          </w:p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4.5 Compare results with company tolerances for differences between achieved and expected yields</w:t>
            </w:r>
          </w:p>
        </w:tc>
      </w:tr>
      <w:tr w:rsidTr="007A38FD">
        <w:tblPrEx>
          <w:tblW w:w="938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5. Identify ways to correct differences between achieved and expected yields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5.1 Determine potential causes of differences between actual and expected yields according to workplace specifications</w:t>
            </w:r>
          </w:p>
          <w:p w:rsidR="00000000" w:rsidRPr="00CF00BE" w:rsidP="00CF00BE">
            <w:pPr>
              <w:pStyle w:val="BodyText"/>
            </w:pPr>
            <w:r w:rsidRPr="00CF00BE">
              <w:t>5.2 Report on potential methods to achieve expected yields according to workplace requirements</w:t>
            </w:r>
          </w:p>
        </w:tc>
      </w:tr>
    </w:tbl>
    <w:p w:rsidR="007A38FD" w:rsidP="00CF00BE">
      <w:pPr>
        <w:pStyle w:val="BodyText"/>
      </w:pPr>
    </w:p>
    <w:p w:rsidR="007A38FD" w:rsidP="00CF00BE">
      <w:pPr>
        <w:pStyle w:val="BodyText"/>
      </w:pPr>
    </w:p>
    <w:p w:rsidR="00000000" w:rsidRPr="00CF00BE" w:rsidP="00CF00BE">
      <w:pPr>
        <w:pStyle w:val="Heading1"/>
      </w:pPr>
      <w:bookmarkStart w:id="5" w:name="O_973721"/>
      <w:bookmarkEnd w:id="5"/>
      <w:r w:rsidRPr="00CF00BE">
        <w:t>Foundation Skills</w:t>
      </w:r>
    </w:p>
    <w:p w:rsidR="00000000" w:rsidRPr="007A38FD" w:rsidP="007A38FD">
      <w:pPr>
        <w:pStyle w:val="BodyText"/>
        <w:rPr>
          <w:i/>
        </w:rPr>
      </w:pPr>
      <w:r w:rsidRPr="007A38FD">
        <w:rPr>
          <w:rStyle w:val="Emphasis"/>
        </w:rPr>
        <w:t>This</w:t>
      </w:r>
      <w:r w:rsidRPr="007A38FD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7A38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rPr>
                <w:rStyle w:val="SpecialBold"/>
              </w:rPr>
              <w:t>Description</w:t>
            </w:r>
          </w:p>
        </w:tc>
      </w:tr>
      <w:tr w:rsidTr="007A3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ListBullet"/>
              <w:rPr>
                <w:lang w:val="en-NZ"/>
              </w:rPr>
            </w:pPr>
            <w:r w:rsidRPr="00CF00BE">
              <w:t>Use mathematical concepts to identify w</w:t>
            </w:r>
            <w:r w:rsidRPr="00CF00BE">
              <w:t>ays to maximise yields</w:t>
            </w:r>
          </w:p>
        </w:tc>
      </w:tr>
      <w:tr w:rsidTr="007A3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ListBullet"/>
              <w:rPr>
                <w:lang w:val="en-NZ"/>
              </w:rPr>
            </w:pPr>
            <w:r w:rsidRPr="00CF00BE">
              <w:t>Apply workplace procedures and legislative responsibilities relevant to own role</w:t>
            </w:r>
          </w:p>
        </w:tc>
      </w:tr>
      <w:tr w:rsidTr="007A38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ListBullet"/>
            </w:pPr>
            <w:r w:rsidRPr="00CF00BE">
              <w:t>Make decisions directly related to completion of tasks required for own role</w:t>
            </w:r>
          </w:p>
        </w:tc>
      </w:tr>
    </w:tbl>
    <w:p w:rsidR="00000000" w:rsidRPr="00CF00BE" w:rsidP="00CF00BE">
      <w:pPr>
        <w:pStyle w:val="BodyText"/>
      </w:pPr>
    </w:p>
    <w:p w:rsidR="00000000" w:rsidRPr="00CF00BE" w:rsidP="00CF00BE">
      <w:pPr>
        <w:pStyle w:val="AllowPageBreak"/>
      </w:pPr>
    </w:p>
    <w:p w:rsidR="00000000" w:rsidRPr="00CF00BE" w:rsidP="00CF00BE">
      <w:pPr>
        <w:pStyle w:val="Heading1"/>
      </w:pPr>
      <w:bookmarkStart w:id="6" w:name="O_973723"/>
      <w:bookmarkEnd w:id="6"/>
      <w:r w:rsidRPr="00CF00BE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8"/>
        <w:gridCol w:w="2386"/>
        <w:gridCol w:w="3444"/>
        <w:gridCol w:w="1472"/>
      </w:tblGrid>
      <w:tr w:rsidTr="00CF00B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>Code and title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>Code and title previous version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rPr>
                <w:rStyle w:val="SpecialBold"/>
              </w:rPr>
              <w:t>Equivalence status</w:t>
            </w:r>
          </w:p>
        </w:tc>
      </w:tr>
      <w:tr w:rsidTr="00CF00BE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AMPX312 Calculate carcase yield in a boning room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>Not applicable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BE">
            <w:pPr>
              <w:pStyle w:val="BodyText"/>
              <w:rPr>
                <w:lang w:val="en-NZ"/>
              </w:rPr>
            </w:pPr>
            <w:r w:rsidRPr="00CF00BE">
              <w:t xml:space="preserve">New unit 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BE" w:rsidP="00CF00BE">
            <w:pPr>
              <w:pStyle w:val="BodyText"/>
            </w:pPr>
            <w:r w:rsidRPr="00CF00BE">
              <w:t>No equivalent unit</w:t>
            </w:r>
          </w:p>
        </w:tc>
      </w:tr>
    </w:tbl>
    <w:p w:rsidR="00000000" w:rsidRPr="00CF00BE" w:rsidP="00CF00BE">
      <w:pPr>
        <w:pStyle w:val="BodyText"/>
      </w:pPr>
    </w:p>
    <w:p w:rsidR="00000000" w:rsidRPr="00CF00BE" w:rsidP="00CF00BE">
      <w:pPr>
        <w:pStyle w:val="AllowPageBreak"/>
      </w:pPr>
    </w:p>
    <w:p w:rsidR="00000000" w:rsidRPr="00CF00BE" w:rsidP="00CF00BE">
      <w:pPr>
        <w:pStyle w:val="Heading1"/>
      </w:pPr>
      <w:bookmarkStart w:id="7" w:name="O_973730"/>
      <w:bookmarkEnd w:id="7"/>
      <w:r w:rsidRPr="00CF00BE">
        <w:t>Links</w:t>
      </w:r>
    </w:p>
    <w:p w:rsidR="00000000" w:rsidRPr="00CF00BE" w:rsidP="007A38FD">
      <w:pPr>
        <w:pStyle w:val="BodyText"/>
      </w:pPr>
      <w:r w:rsidRPr="00CF00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F140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F00BE" w:rsidP="00CF00BE"/>
    <w:sectPr w:rsidSect="00CF0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BE" w:rsidRPr="007A38FD" w:rsidP="007A3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FD" w:rsidP="00CF0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38FD" w:rsidP="00CF0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A38FD" w:rsidP="00CF0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BE" w:rsidRPr="007A38FD" w:rsidP="007A3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8FD" w:rsidRPr="002D2AF8" w:rsidP="00CF0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AMPX312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A38FD" w:rsidP="00CF0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E9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BE5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BE"/>
  </w:style>
  <w:style w:type="character" w:customStyle="1" w:styleId="Heading1Char">
    <w:name w:val="Heading 1 Char"/>
    <w:basedOn w:val="DefaultParagraphFont"/>
    <w:link w:val="Heading1"/>
    <w:rsid w:val="00CF0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0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0BE"/>
    <w:rPr>
      <w:b/>
      <w:spacing w:val="0"/>
    </w:rPr>
  </w:style>
  <w:style w:type="character" w:styleId="Emphasis">
    <w:name w:val="Emphasis"/>
    <w:basedOn w:val="DefaultParagraphFont"/>
    <w:qFormat/>
    <w:rsid w:val="00CF00BE"/>
    <w:rPr>
      <w:i/>
    </w:rPr>
  </w:style>
  <w:style w:type="paragraph" w:customStyle="1" w:styleId="SuperHeading">
    <w:name w:val="SuperHeading"/>
    <w:basedOn w:val="Normal"/>
    <w:rsid w:val="00CF0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0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BE"/>
  </w:style>
  <w:style w:type="paragraph" w:styleId="TableofFigures">
    <w:name w:val="table of figures"/>
    <w:basedOn w:val="Normal"/>
    <w:next w:val="Normal"/>
    <w:semiHidden/>
    <w:rsid w:val="00CF0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0BE"/>
    <w:rPr>
      <w:rFonts w:ascii="Wingdings" w:hAnsi="Wingdings"/>
    </w:rPr>
  </w:style>
  <w:style w:type="paragraph" w:customStyle="1" w:styleId="TableHeading">
    <w:name w:val="Table Heading"/>
    <w:basedOn w:val="HeadingBase"/>
    <w:rsid w:val="00CF0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BE"/>
    <w:rPr>
      <w:color w:val="0033CC"/>
      <w:u w:val="none"/>
    </w:rPr>
  </w:style>
  <w:style w:type="paragraph" w:customStyle="1" w:styleId="BodyTextRight">
    <w:name w:val="Body Text Right"/>
    <w:basedOn w:val="BodyText"/>
    <w:rsid w:val="00CF0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BE"/>
    <w:rPr>
      <w:sz w:val="32"/>
    </w:rPr>
  </w:style>
  <w:style w:type="paragraph" w:customStyle="1" w:styleId="HeadingProcedure">
    <w:name w:val="Heading Procedure"/>
    <w:basedOn w:val="HeadingBase"/>
    <w:next w:val="Normal"/>
    <w:rsid w:val="00CF0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BE"/>
    <w:pPr>
      <w:spacing w:before="60" w:after="60"/>
    </w:pPr>
  </w:style>
  <w:style w:type="paragraph" w:styleId="ListContinue">
    <w:name w:val="List Continue"/>
    <w:basedOn w:val="List"/>
    <w:rsid w:val="00CF00BE"/>
    <w:pPr>
      <w:ind w:firstLine="0"/>
    </w:pPr>
  </w:style>
  <w:style w:type="paragraph" w:customStyle="1" w:styleId="ListNote">
    <w:name w:val="List Note"/>
    <w:basedOn w:val="List"/>
    <w:rsid w:val="00CF0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BE"/>
    <w:rPr>
      <w:rFonts w:ascii="Courier New" w:hAnsi="Courier New"/>
    </w:rPr>
  </w:style>
  <w:style w:type="paragraph" w:customStyle="1" w:styleId="NoteBullet">
    <w:name w:val="Note Bullet"/>
    <w:basedOn w:val="Note"/>
    <w:rsid w:val="00CF0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BE"/>
    <w:rPr>
      <w:b/>
      <w:smallCaps/>
    </w:rPr>
  </w:style>
  <w:style w:type="paragraph" w:customStyle="1" w:styleId="TableListNumber">
    <w:name w:val="Table List Number"/>
    <w:basedOn w:val="ListNumber"/>
    <w:rsid w:val="00CF0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BE"/>
    <w:pPr>
      <w:numPr>
        <w:numId w:val="8"/>
      </w:numPr>
    </w:pPr>
  </w:style>
  <w:style w:type="paragraph" w:customStyle="1" w:styleId="ListAlpha2">
    <w:name w:val="List Alpha 2"/>
    <w:basedOn w:val="List2"/>
    <w:rsid w:val="00CF00BE"/>
    <w:pPr>
      <w:numPr>
        <w:numId w:val="7"/>
      </w:numPr>
    </w:pPr>
  </w:style>
  <w:style w:type="paragraph" w:styleId="List2">
    <w:name w:val="List 2"/>
    <w:basedOn w:val="BodyText"/>
    <w:rsid w:val="00CF0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0BE"/>
    <w:pPr>
      <w:numPr>
        <w:numId w:val="3"/>
      </w:numPr>
    </w:pPr>
  </w:style>
  <w:style w:type="paragraph" w:styleId="ListContinue2">
    <w:name w:val="List Continue 2"/>
    <w:basedOn w:val="List2"/>
    <w:rsid w:val="00CF00BE"/>
    <w:pPr>
      <w:ind w:firstLine="0"/>
    </w:pPr>
  </w:style>
  <w:style w:type="paragraph" w:styleId="ListContinue3">
    <w:name w:val="List Continue 3"/>
    <w:basedOn w:val="List3"/>
    <w:rsid w:val="00CF00BE"/>
    <w:pPr>
      <w:ind w:left="1021" w:firstLine="0"/>
    </w:pPr>
  </w:style>
  <w:style w:type="paragraph" w:styleId="ListContinue4">
    <w:name w:val="List Continue 4"/>
    <w:basedOn w:val="List4"/>
    <w:rsid w:val="00CF00BE"/>
    <w:pPr>
      <w:ind w:firstLine="0"/>
    </w:pPr>
  </w:style>
  <w:style w:type="paragraph" w:styleId="ListContinue5">
    <w:name w:val="List Continue 5"/>
    <w:basedOn w:val="List5"/>
    <w:rsid w:val="00CF00BE"/>
    <w:pPr>
      <w:ind w:firstLine="0"/>
    </w:pPr>
  </w:style>
  <w:style w:type="paragraph" w:styleId="ListNumber3">
    <w:name w:val="List Number 3"/>
    <w:basedOn w:val="List3"/>
    <w:rsid w:val="00CF00BE"/>
    <w:pPr>
      <w:numPr>
        <w:numId w:val="4"/>
      </w:numPr>
    </w:pPr>
  </w:style>
  <w:style w:type="paragraph" w:styleId="ListNumber4">
    <w:name w:val="List Number 4"/>
    <w:basedOn w:val="List4"/>
    <w:rsid w:val="00CF00BE"/>
    <w:pPr>
      <w:numPr>
        <w:numId w:val="5"/>
      </w:numPr>
    </w:pPr>
  </w:style>
  <w:style w:type="paragraph" w:styleId="ListNumber5">
    <w:name w:val="List Number 5"/>
    <w:basedOn w:val="List5"/>
    <w:rsid w:val="00CF00BE"/>
    <w:pPr>
      <w:numPr>
        <w:numId w:val="6"/>
      </w:numPr>
    </w:pPr>
  </w:style>
  <w:style w:type="paragraph" w:styleId="BlockText">
    <w:name w:val="Block Text"/>
    <w:basedOn w:val="Normal"/>
    <w:rsid w:val="00CF0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BE"/>
    <w:rPr>
      <w:sz w:val="16"/>
      <w:vertAlign w:val="superscript"/>
    </w:rPr>
  </w:style>
  <w:style w:type="character" w:customStyle="1" w:styleId="Symbols">
    <w:name w:val="Symbols"/>
    <w:basedOn w:val="DefaultParagraphFont"/>
    <w:rsid w:val="00CF00BE"/>
    <w:rPr>
      <w:rFonts w:ascii="Symbol" w:hAnsi="Symbol"/>
    </w:rPr>
  </w:style>
  <w:style w:type="character" w:customStyle="1" w:styleId="MenuOptions">
    <w:name w:val="Menu Options"/>
    <w:basedOn w:val="DefaultParagraphFont"/>
    <w:rsid w:val="00CF0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BE"/>
    <w:rPr>
      <w:b/>
    </w:rPr>
  </w:style>
  <w:style w:type="character" w:customStyle="1" w:styleId="Underlined">
    <w:name w:val="Underlined"/>
    <w:basedOn w:val="DefaultParagraphFont"/>
    <w:rsid w:val="00CF00BE"/>
    <w:rPr>
      <w:u w:val="single"/>
    </w:rPr>
  </w:style>
  <w:style w:type="paragraph" w:customStyle="1" w:styleId="TableBodyTextRight">
    <w:name w:val="Table Body Text Right"/>
    <w:basedOn w:val="TableBodyText"/>
    <w:rsid w:val="00CF0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BE"/>
    <w:rPr>
      <w:sz w:val="18"/>
    </w:rPr>
  </w:style>
  <w:style w:type="paragraph" w:customStyle="1" w:styleId="BodySmallRight">
    <w:name w:val="Body Small Right"/>
    <w:basedOn w:val="BodyTextRight"/>
    <w:rsid w:val="00CF00BE"/>
    <w:rPr>
      <w:sz w:val="18"/>
      <w:szCs w:val="18"/>
    </w:rPr>
  </w:style>
  <w:style w:type="paragraph" w:customStyle="1" w:styleId="MarginEdition">
    <w:name w:val="Margin Edition"/>
    <w:basedOn w:val="MarginNote"/>
    <w:rsid w:val="00CF0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BE"/>
    <w:rPr>
      <w:sz w:val="2"/>
      <w:szCs w:val="2"/>
    </w:rPr>
  </w:style>
  <w:style w:type="character" w:customStyle="1" w:styleId="Small">
    <w:name w:val="Small"/>
    <w:basedOn w:val="DefaultParagraphFont"/>
    <w:rsid w:val="00CF00BE"/>
    <w:rPr>
      <w:sz w:val="16"/>
    </w:rPr>
  </w:style>
  <w:style w:type="paragraph" w:customStyle="1" w:styleId="WideTable">
    <w:name w:val="Wide Table"/>
    <w:basedOn w:val="Normal"/>
    <w:rsid w:val="00CF0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BE"/>
  </w:style>
  <w:style w:type="paragraph" w:styleId="Quote">
    <w:name w:val="Quote"/>
    <w:basedOn w:val="Heading1"/>
    <w:link w:val="QuoteChar"/>
    <w:qFormat/>
    <w:rsid w:val="00CF0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BE"/>
    <w:pPr>
      <w:pageBreakBefore/>
    </w:pPr>
  </w:style>
  <w:style w:type="paragraph" w:customStyle="1" w:styleId="Border">
    <w:name w:val="Border"/>
    <w:basedOn w:val="Normal"/>
    <w:qFormat/>
    <w:rsid w:val="00CF0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BE"/>
    <w:rPr>
      <w:u w:val="single"/>
    </w:rPr>
  </w:style>
  <w:style w:type="character" w:customStyle="1" w:styleId="BoldandItalics">
    <w:name w:val="Bold and Italics"/>
    <w:qFormat/>
    <w:rsid w:val="00CF00BE"/>
    <w:rPr>
      <w:b/>
      <w:i/>
      <w:u w:val="none"/>
    </w:rPr>
  </w:style>
  <w:style w:type="paragraph" w:styleId="BalloonText">
    <w:name w:val="Balloon Text"/>
    <w:basedOn w:val="Normal"/>
    <w:link w:val="BalloonTextChar"/>
    <w:rsid w:val="00CF0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BE"/>
    <w:pPr>
      <w:spacing w:before="0" w:after="0"/>
    </w:pPr>
  </w:style>
  <w:style w:type="paragraph" w:customStyle="1" w:styleId="BodyTextBold">
    <w:name w:val="Body Text Bold"/>
    <w:basedOn w:val="BodyText"/>
    <w:qFormat/>
    <w:rsid w:val="00CF00BE"/>
    <w:rPr>
      <w:b/>
    </w:rPr>
  </w:style>
  <w:style w:type="character" w:styleId="Hyperlink">
    <w:name w:val="Hyperlink"/>
    <w:basedOn w:val="DefaultParagraphFont"/>
    <w:uiPriority w:val="99"/>
    <w:unhideWhenUsed/>
    <w:rsid w:val="007A3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3456</Characters>
  <Application>Microsoft Office Word</Application>
  <DocSecurity>0</DocSecurity>
  <Lines>128</Lines>
  <Paragraphs>77</Paragraphs>
  <ScaleCrop>false</ScaleCrop>
  <Company>Author-it Software Corporation Ltd.</Company>
  <LinksUpToDate>false</LinksUpToDate>
  <CharactersWithSpaces>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AMPX312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