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0AA" w:rsidP="005C2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AMPX302 Cure and corn product</w:t>
      </w:r>
      <w:r>
        <w:fldChar w:fldCharType="end"/>
      </w:r>
    </w:p>
    <w:p w:rsidR="005C20AA" w:rsidP="005C20AA">
      <w:pPr>
        <w:pStyle w:val="Version"/>
        <w:sectPr w:rsidSect="00D14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D56" w:rsidP="00D14D56">
      <w:pPr>
        <w:pStyle w:val="SuperHeading"/>
      </w:pPr>
      <w:r w:rsidRPr="00D14D56">
        <w:t>Assessment Requirements for AMPX302 Cure and corn product</w:t>
      </w:r>
    </w:p>
    <w:p w:rsidR="00000000" w:rsidRPr="00D14D56" w:rsidP="00D14D56">
      <w:pPr>
        <w:pStyle w:val="Heading1"/>
      </w:pPr>
      <w:bookmarkStart w:id="1" w:name="O_906817"/>
      <w:bookmarkEnd w:id="1"/>
      <w:r w:rsidRPr="00D14D5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14D5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D56">
            <w:pPr>
              <w:pStyle w:val="TableHeading"/>
              <w:rPr>
                <w:lang w:val="en-NZ"/>
              </w:rPr>
            </w:pPr>
            <w:r w:rsidRPr="00D14D5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D56">
            <w:pPr>
              <w:pStyle w:val="TableHeading"/>
              <w:rPr>
                <w:lang w:val="en-NZ"/>
              </w:rPr>
            </w:pPr>
            <w:r w:rsidRPr="00D14D5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D56">
            <w:pPr>
              <w:pStyle w:val="TableHeading"/>
              <w:rPr>
                <w:lang w:val="en-NZ"/>
              </w:rPr>
            </w:pPr>
            <w:r w:rsidRPr="00D14D56">
              <w:t>Comment</w:t>
            </w:r>
          </w:p>
        </w:tc>
      </w:tr>
      <w:tr w:rsidTr="00D14D5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D56">
            <w:pPr>
              <w:pStyle w:val="BodyText"/>
              <w:rPr>
                <w:lang w:val="en-NZ"/>
              </w:rPr>
            </w:pPr>
            <w:r w:rsidRPr="00D14D5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D56">
            <w:pPr>
              <w:pStyle w:val="BodyText"/>
              <w:rPr>
                <w:lang w:val="en-NZ"/>
              </w:rPr>
            </w:pPr>
            <w:r w:rsidRPr="00D14D56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D56" w:rsidP="00D14D56">
            <w:pPr>
              <w:pStyle w:val="BodyText"/>
            </w:pPr>
            <w:r w:rsidRPr="00D14D56">
              <w:t>Initial release</w:t>
            </w:r>
          </w:p>
        </w:tc>
      </w:tr>
    </w:tbl>
    <w:p w:rsidR="00000000" w:rsidRPr="00D14D56" w:rsidP="00D14D56">
      <w:pPr>
        <w:pStyle w:val="BodyText"/>
      </w:pPr>
    </w:p>
    <w:p w:rsidR="00000000" w:rsidRPr="00D14D56" w:rsidP="00D14D56">
      <w:pPr>
        <w:pStyle w:val="AllowPageBreak"/>
      </w:pPr>
    </w:p>
    <w:p w:rsidR="00000000" w:rsidRPr="00D14D56" w:rsidP="00D14D56">
      <w:pPr>
        <w:pStyle w:val="Heading1"/>
      </w:pPr>
      <w:bookmarkStart w:id="2" w:name="O_906818"/>
      <w:bookmarkEnd w:id="2"/>
      <w:r w:rsidRPr="00D14D56">
        <w:t>Performance Evidence</w:t>
      </w:r>
    </w:p>
    <w:p w:rsidR="00000000" w:rsidRPr="00D14D56" w:rsidP="005C20AA">
      <w:pPr>
        <w:pStyle w:val="BodyText"/>
      </w:pPr>
      <w:r w:rsidRPr="00D14D56">
        <w:t>The candidate must be observed curing and corning various meat products.</w:t>
      </w:r>
    </w:p>
    <w:p w:rsidR="00000000" w:rsidRPr="00D14D56" w:rsidP="005C20AA">
      <w:pPr>
        <w:pStyle w:val="BodyText"/>
      </w:pPr>
      <w:r w:rsidRPr="00D14D56">
        <w:t xml:space="preserve">The candidate must: </w:t>
      </w:r>
    </w:p>
    <w:p w:rsidR="00000000" w:rsidRPr="00D14D56" w:rsidP="00D14D56">
      <w:pPr>
        <w:pStyle w:val="ListBullet"/>
      </w:pPr>
      <w:r w:rsidRPr="00D14D56">
        <w:t xml:space="preserve">identify </w:t>
      </w:r>
      <w:r w:rsidRPr="00D14D56">
        <w:t>meat cuts used in curing and corning</w:t>
      </w:r>
    </w:p>
    <w:p w:rsidR="00000000" w:rsidRPr="00D14D56" w:rsidP="00D14D56">
      <w:pPr>
        <w:pStyle w:val="ListBullet"/>
      </w:pPr>
      <w:r w:rsidRPr="00D14D56">
        <w:t>identify various ingredients used in curing and explain their purposes</w:t>
      </w:r>
    </w:p>
    <w:p w:rsidR="00000000" w:rsidRPr="00D14D56" w:rsidP="00D14D56">
      <w:pPr>
        <w:pStyle w:val="ListBullet"/>
      </w:pPr>
      <w:r w:rsidRPr="00D14D56">
        <w:t>identify sub-standard product and address the problem according to workplace requirements</w:t>
      </w:r>
    </w:p>
    <w:p w:rsidR="00000000" w:rsidRPr="00D14D56" w:rsidP="00D14D56">
      <w:pPr>
        <w:pStyle w:val="ListBullet"/>
      </w:pPr>
      <w:r w:rsidRPr="00D14D56">
        <w:t>follow recipes and procedures accurately</w:t>
      </w:r>
    </w:p>
    <w:p w:rsidR="00000000" w:rsidRPr="00D14D56" w:rsidP="00D14D56">
      <w:pPr>
        <w:pStyle w:val="ListBullet"/>
      </w:pPr>
      <w:r w:rsidRPr="00D14D56">
        <w:t>activate processi</w:t>
      </w:r>
      <w:r w:rsidRPr="00D14D56">
        <w:t>ng equipment to assess its readiness for operational use</w:t>
      </w:r>
    </w:p>
    <w:p w:rsidR="00000000" w:rsidRPr="00D14D56" w:rsidP="00D14D56">
      <w:pPr>
        <w:pStyle w:val="ListBullet"/>
      </w:pPr>
      <w:r w:rsidRPr="00D14D56">
        <w:t>operate mixing machines for required length of time</w:t>
      </w:r>
    </w:p>
    <w:p w:rsidR="00000000" w:rsidRPr="00D14D56" w:rsidP="00D14D56">
      <w:pPr>
        <w:pStyle w:val="ListBullet"/>
      </w:pPr>
      <w:r w:rsidRPr="00D14D56">
        <w:t>operate adjustment tools and equipment correctly</w:t>
      </w:r>
    </w:p>
    <w:p w:rsidR="00000000" w:rsidRPr="00D14D56" w:rsidP="00D14D56">
      <w:pPr>
        <w:pStyle w:val="ListBullet"/>
      </w:pPr>
      <w:r w:rsidRPr="00D14D56">
        <w:t>perform running adjustments in accordance with workplace requirements and manufacturer</w:t>
      </w:r>
      <w:r>
        <w:t>’</w:t>
      </w:r>
      <w:r w:rsidRPr="00D14D56">
        <w:t>s specifica</w:t>
      </w:r>
      <w:r w:rsidRPr="00D14D56">
        <w:t>tions</w:t>
      </w:r>
    </w:p>
    <w:p w:rsidR="00000000" w:rsidRPr="00D14D56" w:rsidP="00D14D56">
      <w:pPr>
        <w:pStyle w:val="ListBullet"/>
      </w:pPr>
      <w:r w:rsidRPr="00D14D56">
        <w:t>pump meat correctly to avoid air pockets</w:t>
      </w:r>
    </w:p>
    <w:p w:rsidR="00000000" w:rsidRPr="00D14D56" w:rsidP="00D14D56">
      <w:pPr>
        <w:pStyle w:val="ListBullet"/>
      </w:pPr>
      <w:r w:rsidRPr="00D14D56">
        <w:t>pump meat to increase weight in accordance with workplace requirements</w:t>
      </w:r>
    </w:p>
    <w:p w:rsidR="00000000" w:rsidRPr="00D14D56" w:rsidP="00D14D56">
      <w:pPr>
        <w:pStyle w:val="ListBullet"/>
      </w:pPr>
      <w:r w:rsidRPr="00D14D56">
        <w:t>perform curing and corning in accordance with workplace, workplace health and safety, hygiene and regulatory requirement</w:t>
      </w:r>
    </w:p>
    <w:p w:rsidR="00000000" w:rsidRPr="00D14D56" w:rsidP="00D14D56">
      <w:pPr>
        <w:pStyle w:val="ListBullet"/>
      </w:pPr>
      <w:r w:rsidRPr="00D14D56">
        <w:t>demonstrate corre</w:t>
      </w:r>
      <w:r w:rsidRPr="00D14D56">
        <w:t>ct pickling procedures in accordance with product specifications and workplace requirements</w:t>
      </w:r>
    </w:p>
    <w:p w:rsidR="00000000" w:rsidRPr="00D14D56" w:rsidP="00D14D56">
      <w:pPr>
        <w:pStyle w:val="ListBullet"/>
      </w:pPr>
      <w:r w:rsidRPr="00D14D56">
        <w:t xml:space="preserve">wash residue from cured meats following removal from holding brine </w:t>
      </w:r>
    </w:p>
    <w:p w:rsidR="00000000" w:rsidRPr="00D14D56" w:rsidP="00D14D56">
      <w:pPr>
        <w:pStyle w:val="ListBullet"/>
      </w:pPr>
      <w:r w:rsidRPr="00D14D56">
        <w:t xml:space="preserve">report any faults and required adjustments to processing equipment in accordance with workplace </w:t>
      </w:r>
      <w:r w:rsidRPr="00D14D56">
        <w:t>procedures</w:t>
      </w:r>
    </w:p>
    <w:p w:rsidR="00000000" w:rsidRPr="00D14D56" w:rsidP="00D14D56">
      <w:pPr>
        <w:pStyle w:val="ListBullet"/>
      </w:pPr>
      <w:r w:rsidRPr="00D14D56">
        <w:t>use tools and cleaning agents appropriate to the cleaning activity and manufacturer</w:t>
      </w:r>
      <w:r>
        <w:t>’</w:t>
      </w:r>
      <w:r w:rsidRPr="00D14D56">
        <w:t>s specifications</w:t>
      </w:r>
    </w:p>
    <w:p w:rsidR="00000000" w:rsidRPr="00D14D56" w:rsidP="00D14D56">
      <w:pPr>
        <w:pStyle w:val="ListBullet"/>
      </w:pPr>
      <w:r w:rsidRPr="00D14D56">
        <w:t>apply relevant communication and mathematical skills</w:t>
      </w:r>
    </w:p>
    <w:p w:rsidR="00000000" w:rsidRPr="00D14D56" w:rsidP="00D14D56">
      <w:pPr>
        <w:pStyle w:val="ListBullet"/>
      </w:pPr>
      <w:r w:rsidRPr="00D14D56">
        <w:t>apply relevant regulatory requirements</w:t>
      </w:r>
    </w:p>
    <w:p w:rsidR="00000000" w:rsidRPr="00D14D56" w:rsidP="00D14D56">
      <w:pPr>
        <w:pStyle w:val="ListBullet"/>
      </w:pPr>
      <w:r w:rsidRPr="00D14D56">
        <w:t>seek advice from appropriate sources when working with new products or equipment</w:t>
      </w:r>
    </w:p>
    <w:p w:rsidR="00000000" w:rsidRPr="00D14D56" w:rsidP="00D14D56">
      <w:pPr>
        <w:pStyle w:val="AllowPageBreak"/>
      </w:pPr>
    </w:p>
    <w:p w:rsidR="00000000" w:rsidRPr="00D14D56" w:rsidP="00D14D56">
      <w:pPr>
        <w:pStyle w:val="Heading1"/>
      </w:pPr>
      <w:bookmarkStart w:id="3" w:name="O_906819"/>
      <w:bookmarkEnd w:id="3"/>
      <w:r w:rsidRPr="00D14D56">
        <w:t>Knowledge Evidence</w:t>
      </w:r>
    </w:p>
    <w:p w:rsidR="00000000" w:rsidRPr="00D14D56" w:rsidP="005C20AA">
      <w:pPr>
        <w:pStyle w:val="BodyText"/>
      </w:pPr>
      <w:r w:rsidRPr="00D14D56">
        <w:t xml:space="preserve">The candidate must demonstrate a factual, technical, procedural and theoretical knowledge of: </w:t>
      </w:r>
    </w:p>
    <w:p w:rsidR="00000000" w:rsidRPr="00D14D56" w:rsidP="00D14D56">
      <w:pPr>
        <w:pStyle w:val="ListBullet"/>
      </w:pPr>
      <w:r w:rsidRPr="00D14D56">
        <w:t>conditions under which equipment may need a</w:t>
      </w:r>
      <w:r w:rsidRPr="00D14D56">
        <w:t>djusting</w:t>
      </w:r>
    </w:p>
    <w:p w:rsidR="00000000" w:rsidRPr="00D14D56" w:rsidP="00D14D56">
      <w:pPr>
        <w:pStyle w:val="ListBullet"/>
      </w:pPr>
      <w:r w:rsidRPr="00D14D56">
        <w:t>function of various additives and ingredients</w:t>
      </w:r>
    </w:p>
    <w:p w:rsidR="00000000" w:rsidRPr="00D14D56" w:rsidP="00D14D56">
      <w:pPr>
        <w:pStyle w:val="ListBullet"/>
      </w:pPr>
      <w:r w:rsidRPr="00D14D56">
        <w:t>meat curing process</w:t>
      </w:r>
    </w:p>
    <w:p w:rsidR="00000000" w:rsidRPr="00D14D56" w:rsidP="00D14D56">
      <w:pPr>
        <w:pStyle w:val="ListBullet"/>
      </w:pPr>
      <w:r w:rsidRPr="00D14D56">
        <w:t>purpose and effect of brine on meat</w:t>
      </w:r>
    </w:p>
    <w:p w:rsidR="00000000" w:rsidRPr="00D14D56" w:rsidP="00D14D56">
      <w:pPr>
        <w:pStyle w:val="ListBullet"/>
      </w:pPr>
      <w:r w:rsidRPr="00D14D56">
        <w:t>health regulations which apply to curing and corning of meats</w:t>
      </w:r>
    </w:p>
    <w:p w:rsidR="00000000" w:rsidRPr="00D14D56" w:rsidP="00D14D56">
      <w:pPr>
        <w:pStyle w:val="ListBullet"/>
      </w:pPr>
      <w:r w:rsidRPr="00D14D56">
        <w:t>effects of curing on shelf life and taste of product</w:t>
      </w:r>
    </w:p>
    <w:p w:rsidR="00000000" w:rsidRPr="00D14D56" w:rsidP="00D14D56">
      <w:pPr>
        <w:pStyle w:val="ListBullet"/>
      </w:pPr>
      <w:r w:rsidRPr="00D14D56">
        <w:t xml:space="preserve">purpose and use of processing </w:t>
      </w:r>
      <w:r w:rsidRPr="00D14D56">
        <w:t>equipment used in curing and corning products</w:t>
      </w:r>
    </w:p>
    <w:p w:rsidR="00000000" w:rsidRPr="00D14D56" w:rsidP="00D14D56">
      <w:pPr>
        <w:pStyle w:val="ListBullet"/>
      </w:pPr>
      <w:r w:rsidRPr="00D14D56">
        <w:t>purpose of correct water temperature and correct additive sequence</w:t>
      </w:r>
    </w:p>
    <w:p w:rsidR="00000000" w:rsidRPr="00D14D56" w:rsidP="00D14D56">
      <w:pPr>
        <w:pStyle w:val="ListBullet"/>
      </w:pPr>
      <w:r w:rsidRPr="00D14D56">
        <w:t>reasons for pickling in accordance with pump percentage and yield requirements</w:t>
      </w:r>
    </w:p>
    <w:p w:rsidR="00000000" w:rsidRPr="00D14D56" w:rsidP="00D14D56">
      <w:pPr>
        <w:pStyle w:val="ListBullet"/>
      </w:pPr>
      <w:r w:rsidRPr="00D14D56">
        <w:t>selection criteria for meat for the curing or corning process</w:t>
      </w:r>
    </w:p>
    <w:p w:rsidR="00000000" w:rsidRPr="00D14D56" w:rsidP="00D14D56">
      <w:pPr>
        <w:pStyle w:val="ListBullet"/>
      </w:pPr>
      <w:r w:rsidRPr="00D14D56">
        <w:t>re</w:t>
      </w:r>
      <w:r w:rsidRPr="00D14D56">
        <w:t>levant regulatory requirements</w:t>
      </w:r>
    </w:p>
    <w:p w:rsidR="00000000" w:rsidRPr="00D14D56" w:rsidP="00D14D56">
      <w:pPr>
        <w:pStyle w:val="ListBullet"/>
      </w:pPr>
      <w:r w:rsidRPr="00D14D56">
        <w:t>maximum amount of nitrite allowed in cured, corned or salted meats</w:t>
      </w:r>
    </w:p>
    <w:p w:rsidR="00000000" w:rsidRPr="00D14D56" w:rsidP="00D14D56">
      <w:pPr>
        <w:pStyle w:val="ListBullet"/>
      </w:pPr>
      <w:r w:rsidRPr="00D14D56">
        <w:t>procedures for cleaning processing equipment</w:t>
      </w:r>
    </w:p>
    <w:p w:rsidR="00000000" w:rsidRPr="00D14D56" w:rsidP="00D14D56">
      <w:pPr>
        <w:pStyle w:val="ListBullet"/>
      </w:pPr>
      <w:r>
        <w:t>•</w:t>
      </w:r>
      <w:r>
        <w:tab/>
        <w:t>‘</w:t>
      </w:r>
      <w:r w:rsidRPr="00D14D56">
        <w:t>osmosis</w:t>
      </w:r>
      <w:r>
        <w:t>’</w:t>
      </w:r>
      <w:r w:rsidRPr="00D14D56">
        <w:t xml:space="preserve"> in relation to the curing process</w:t>
      </w:r>
    </w:p>
    <w:p w:rsidR="00000000" w:rsidRPr="00D14D56" w:rsidP="00D14D56">
      <w:pPr>
        <w:pStyle w:val="AllowPageBreak"/>
      </w:pPr>
    </w:p>
    <w:p w:rsidR="00000000" w:rsidRPr="00D14D56" w:rsidP="00D14D56">
      <w:pPr>
        <w:pStyle w:val="Heading1"/>
      </w:pPr>
      <w:bookmarkStart w:id="4" w:name="O_906820"/>
      <w:bookmarkEnd w:id="4"/>
      <w:r w:rsidRPr="00D14D56">
        <w:t>Assessment Conditions</w:t>
      </w:r>
    </w:p>
    <w:p w:rsidR="00000000" w:rsidRPr="00D14D56" w:rsidP="005C20AA">
      <w:pPr>
        <w:pStyle w:val="BodyText"/>
      </w:pPr>
      <w:r w:rsidRPr="00D14D56">
        <w:t>Competency must be demonstrated under typical operating conditions within the parameters of role and responsibilities.</w:t>
      </w:r>
    </w:p>
    <w:p w:rsidR="00000000" w:rsidRPr="00D14D56" w:rsidP="005C20AA">
      <w:pPr>
        <w:pStyle w:val="BodyText"/>
      </w:pPr>
      <w:r w:rsidRPr="00D14D56">
        <w:t>Assessment must occur in the workplace under normal production conditions.</w:t>
      </w:r>
    </w:p>
    <w:p w:rsidR="00000000" w:rsidRPr="00D14D56" w:rsidP="005C20AA">
      <w:pPr>
        <w:pStyle w:val="BodyText"/>
      </w:pPr>
      <w:r w:rsidRPr="00D14D56">
        <w:t>The following three forms of assessment must be used:</w:t>
      </w:r>
    </w:p>
    <w:p w:rsidR="00000000" w:rsidRPr="00D14D56" w:rsidP="00D14D56">
      <w:pPr>
        <w:pStyle w:val="ListBullet"/>
      </w:pPr>
      <w:r w:rsidRPr="00D14D56">
        <w:t xml:space="preserve">quiz </w:t>
      </w:r>
      <w:r w:rsidRPr="00D14D56">
        <w:t>of underpinning knowledge</w:t>
      </w:r>
    </w:p>
    <w:p w:rsidR="00000000" w:rsidRPr="00D14D56" w:rsidP="00D14D56">
      <w:pPr>
        <w:pStyle w:val="ListBullet"/>
      </w:pPr>
      <w:r w:rsidRPr="00D14D56">
        <w:t xml:space="preserve">workplace demonstration </w:t>
      </w:r>
    </w:p>
    <w:p w:rsidR="00000000" w:rsidRPr="00D14D56" w:rsidP="00D14D56">
      <w:pPr>
        <w:pStyle w:val="ListBullet"/>
      </w:pPr>
      <w:r w:rsidRPr="00D14D56">
        <w:t>workplace referee or third-party report of performance over time</w:t>
      </w:r>
    </w:p>
    <w:p w:rsidR="00000000" w:rsidRPr="00D14D56" w:rsidP="00D14D56">
      <w:pPr>
        <w:pStyle w:val="BodyText"/>
      </w:pPr>
    </w:p>
    <w:p w:rsidR="00000000" w:rsidRPr="00D14D56" w:rsidP="005C20AA">
      <w:pPr>
        <w:pStyle w:val="BodyText"/>
      </w:pPr>
      <w:r w:rsidRPr="00D14D56">
        <w:t>Assessors must satisfy the current standards for RTOs.</w:t>
      </w:r>
    </w:p>
    <w:p w:rsidR="00000000" w:rsidRPr="00D14D56" w:rsidP="00D14D56">
      <w:pPr>
        <w:pStyle w:val="Heading1"/>
      </w:pPr>
      <w:bookmarkStart w:id="5" w:name="O_906823"/>
      <w:bookmarkEnd w:id="5"/>
      <w:r w:rsidRPr="00D14D56">
        <w:t>Links</w:t>
      </w:r>
    </w:p>
    <w:p w:rsidR="00000000" w:rsidRPr="00D14D56" w:rsidP="005C20AA">
      <w:pPr>
        <w:pStyle w:val="BodyText"/>
      </w:pPr>
      <w:r w:rsidRPr="00D14D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667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14D56" w:rsidP="00D14D56"/>
    <w:sectPr w:rsidSect="00D14D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56" w:rsidRPr="005C20AA" w:rsidP="005C2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AA" w:rsidP="00D14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20AA" w:rsidP="00D14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20AA" w:rsidP="00D14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D56" w:rsidRPr="005C20AA" w:rsidP="005C2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AA" w:rsidRPr="002D2AF8" w:rsidP="00D14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AMPX302 Cure and corn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C20AA" w:rsidP="00D14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0A3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F4B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D56"/>
  </w:style>
  <w:style w:type="character" w:customStyle="1" w:styleId="Heading1Char">
    <w:name w:val="Heading 1 Char"/>
    <w:basedOn w:val="DefaultParagraphFont"/>
    <w:link w:val="Heading1"/>
    <w:rsid w:val="00D14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D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D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4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4D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4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D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D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4D56"/>
    <w:rPr>
      <w:b/>
      <w:spacing w:val="0"/>
    </w:rPr>
  </w:style>
  <w:style w:type="paragraph" w:customStyle="1" w:styleId="SuperTitle">
    <w:name w:val="SuperTitle"/>
    <w:basedOn w:val="Title"/>
    <w:rsid w:val="00D14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D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D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D56"/>
    <w:rPr>
      <w:i/>
    </w:rPr>
  </w:style>
  <w:style w:type="paragraph" w:styleId="Caption">
    <w:name w:val="caption"/>
    <w:basedOn w:val="BodyText"/>
    <w:next w:val="Normal"/>
    <w:qFormat/>
    <w:rsid w:val="00D14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D56"/>
  </w:style>
  <w:style w:type="paragraph" w:styleId="TableofFigures">
    <w:name w:val="table of figures"/>
    <w:basedOn w:val="Normal"/>
    <w:next w:val="Normal"/>
    <w:semiHidden/>
    <w:rsid w:val="00D14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D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D56"/>
    <w:rPr>
      <w:rFonts w:ascii="Wingdings" w:hAnsi="Wingdings"/>
    </w:rPr>
  </w:style>
  <w:style w:type="character" w:customStyle="1" w:styleId="HotSpot">
    <w:name w:val="HotSpot"/>
    <w:rsid w:val="00D14D56"/>
    <w:rPr>
      <w:color w:val="0033CC"/>
      <w:u w:val="none"/>
    </w:rPr>
  </w:style>
  <w:style w:type="paragraph" w:customStyle="1" w:styleId="BodyTextRight">
    <w:name w:val="Body Text Right"/>
    <w:basedOn w:val="BodyText"/>
    <w:rsid w:val="00D14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D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D56"/>
    <w:rPr>
      <w:sz w:val="32"/>
    </w:rPr>
  </w:style>
  <w:style w:type="paragraph" w:customStyle="1" w:styleId="HeadingProcedure">
    <w:name w:val="Heading Procedure"/>
    <w:basedOn w:val="HeadingBase"/>
    <w:next w:val="Normal"/>
    <w:rsid w:val="00D14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D56"/>
    <w:pPr>
      <w:spacing w:before="60" w:after="60"/>
    </w:pPr>
  </w:style>
  <w:style w:type="paragraph" w:styleId="ListContinue">
    <w:name w:val="List Continue"/>
    <w:basedOn w:val="List"/>
    <w:rsid w:val="00D14D56"/>
    <w:pPr>
      <w:ind w:firstLine="0"/>
    </w:pPr>
  </w:style>
  <w:style w:type="paragraph" w:customStyle="1" w:styleId="ListNote">
    <w:name w:val="List Note"/>
    <w:basedOn w:val="List"/>
    <w:rsid w:val="00D14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D56"/>
    <w:rPr>
      <w:rFonts w:ascii="Courier New" w:hAnsi="Courier New"/>
    </w:rPr>
  </w:style>
  <w:style w:type="paragraph" w:customStyle="1" w:styleId="NoteBullet">
    <w:name w:val="Note Bullet"/>
    <w:basedOn w:val="Note"/>
    <w:rsid w:val="00D14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D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D56"/>
    <w:rPr>
      <w:b/>
      <w:smallCaps/>
    </w:rPr>
  </w:style>
  <w:style w:type="paragraph" w:customStyle="1" w:styleId="TableListNumber">
    <w:name w:val="Table List Number"/>
    <w:basedOn w:val="ListNumber"/>
    <w:rsid w:val="00D14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D56"/>
    <w:pPr>
      <w:numPr>
        <w:numId w:val="8"/>
      </w:numPr>
    </w:pPr>
  </w:style>
  <w:style w:type="paragraph" w:customStyle="1" w:styleId="ListAlpha2">
    <w:name w:val="List Alpha 2"/>
    <w:basedOn w:val="List2"/>
    <w:rsid w:val="00D14D56"/>
    <w:pPr>
      <w:numPr>
        <w:numId w:val="7"/>
      </w:numPr>
    </w:pPr>
  </w:style>
  <w:style w:type="paragraph" w:styleId="List2">
    <w:name w:val="List 2"/>
    <w:basedOn w:val="BodyText"/>
    <w:rsid w:val="00D14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D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D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D56"/>
    <w:pPr>
      <w:numPr>
        <w:numId w:val="3"/>
      </w:numPr>
    </w:pPr>
  </w:style>
  <w:style w:type="paragraph" w:styleId="ListContinue2">
    <w:name w:val="List Continue 2"/>
    <w:basedOn w:val="List2"/>
    <w:rsid w:val="00D14D56"/>
    <w:pPr>
      <w:ind w:firstLine="0"/>
    </w:pPr>
  </w:style>
  <w:style w:type="paragraph" w:styleId="ListContinue3">
    <w:name w:val="List Continue 3"/>
    <w:basedOn w:val="List3"/>
    <w:rsid w:val="00D14D56"/>
    <w:pPr>
      <w:ind w:left="1021" w:firstLine="0"/>
    </w:pPr>
  </w:style>
  <w:style w:type="paragraph" w:styleId="ListContinue4">
    <w:name w:val="List Continue 4"/>
    <w:basedOn w:val="List4"/>
    <w:rsid w:val="00D14D56"/>
    <w:pPr>
      <w:ind w:firstLine="0"/>
    </w:pPr>
  </w:style>
  <w:style w:type="paragraph" w:styleId="ListContinue5">
    <w:name w:val="List Continue 5"/>
    <w:basedOn w:val="List5"/>
    <w:rsid w:val="00D14D56"/>
    <w:pPr>
      <w:ind w:firstLine="0"/>
    </w:pPr>
  </w:style>
  <w:style w:type="paragraph" w:styleId="ListNumber3">
    <w:name w:val="List Number 3"/>
    <w:basedOn w:val="List3"/>
    <w:rsid w:val="00D14D56"/>
    <w:pPr>
      <w:numPr>
        <w:numId w:val="4"/>
      </w:numPr>
    </w:pPr>
  </w:style>
  <w:style w:type="paragraph" w:styleId="ListNumber4">
    <w:name w:val="List Number 4"/>
    <w:basedOn w:val="List4"/>
    <w:rsid w:val="00D14D56"/>
    <w:pPr>
      <w:numPr>
        <w:numId w:val="5"/>
      </w:numPr>
    </w:pPr>
  </w:style>
  <w:style w:type="paragraph" w:styleId="ListNumber5">
    <w:name w:val="List Number 5"/>
    <w:basedOn w:val="List5"/>
    <w:rsid w:val="00D14D56"/>
    <w:pPr>
      <w:numPr>
        <w:numId w:val="6"/>
      </w:numPr>
    </w:pPr>
  </w:style>
  <w:style w:type="paragraph" w:styleId="BlockText">
    <w:name w:val="Block Text"/>
    <w:basedOn w:val="Normal"/>
    <w:rsid w:val="00D14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D56"/>
    <w:rPr>
      <w:sz w:val="16"/>
      <w:vertAlign w:val="superscript"/>
    </w:rPr>
  </w:style>
  <w:style w:type="character" w:customStyle="1" w:styleId="Symbols">
    <w:name w:val="Symbols"/>
    <w:basedOn w:val="DefaultParagraphFont"/>
    <w:rsid w:val="00D14D56"/>
    <w:rPr>
      <w:rFonts w:ascii="Symbol" w:hAnsi="Symbol"/>
    </w:rPr>
  </w:style>
  <w:style w:type="character" w:customStyle="1" w:styleId="MenuOptions">
    <w:name w:val="Menu Options"/>
    <w:basedOn w:val="DefaultParagraphFont"/>
    <w:rsid w:val="00D14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D56"/>
    <w:rPr>
      <w:b/>
    </w:rPr>
  </w:style>
  <w:style w:type="character" w:customStyle="1" w:styleId="Underlined">
    <w:name w:val="Underlined"/>
    <w:basedOn w:val="DefaultParagraphFont"/>
    <w:rsid w:val="00D14D56"/>
    <w:rPr>
      <w:u w:val="single"/>
    </w:rPr>
  </w:style>
  <w:style w:type="paragraph" w:customStyle="1" w:styleId="TableBodyTextRight">
    <w:name w:val="Table Body Text Right"/>
    <w:basedOn w:val="TableBodyText"/>
    <w:rsid w:val="00D14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D56"/>
    <w:rPr>
      <w:sz w:val="18"/>
    </w:rPr>
  </w:style>
  <w:style w:type="paragraph" w:customStyle="1" w:styleId="BodySmallRight">
    <w:name w:val="Body Small Right"/>
    <w:basedOn w:val="BodyTextRight"/>
    <w:rsid w:val="00D14D56"/>
    <w:rPr>
      <w:sz w:val="18"/>
      <w:szCs w:val="18"/>
    </w:rPr>
  </w:style>
  <w:style w:type="paragraph" w:customStyle="1" w:styleId="MarginEdition">
    <w:name w:val="Margin Edition"/>
    <w:basedOn w:val="MarginNote"/>
    <w:rsid w:val="00D14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D56"/>
    <w:rPr>
      <w:sz w:val="2"/>
      <w:szCs w:val="2"/>
    </w:rPr>
  </w:style>
  <w:style w:type="character" w:customStyle="1" w:styleId="Small">
    <w:name w:val="Small"/>
    <w:basedOn w:val="DefaultParagraphFont"/>
    <w:rsid w:val="00D14D56"/>
    <w:rPr>
      <w:sz w:val="16"/>
    </w:rPr>
  </w:style>
  <w:style w:type="paragraph" w:customStyle="1" w:styleId="WideTable">
    <w:name w:val="Wide Table"/>
    <w:basedOn w:val="Normal"/>
    <w:rsid w:val="00D14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D56"/>
  </w:style>
  <w:style w:type="paragraph" w:styleId="Quote">
    <w:name w:val="Quote"/>
    <w:basedOn w:val="Heading1"/>
    <w:link w:val="QuoteChar"/>
    <w:qFormat/>
    <w:rsid w:val="00D14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D56"/>
    <w:pPr>
      <w:pageBreakBefore/>
    </w:pPr>
  </w:style>
  <w:style w:type="paragraph" w:customStyle="1" w:styleId="Border">
    <w:name w:val="Border"/>
    <w:basedOn w:val="Normal"/>
    <w:qFormat/>
    <w:rsid w:val="00D14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D56"/>
    <w:rPr>
      <w:u w:val="single"/>
    </w:rPr>
  </w:style>
  <w:style w:type="character" w:customStyle="1" w:styleId="BoldandItalics">
    <w:name w:val="Bold and Italics"/>
    <w:qFormat/>
    <w:rsid w:val="00D14D56"/>
    <w:rPr>
      <w:b/>
      <w:i/>
      <w:u w:val="none"/>
    </w:rPr>
  </w:style>
  <w:style w:type="paragraph" w:styleId="BalloonText">
    <w:name w:val="Balloon Text"/>
    <w:basedOn w:val="Normal"/>
    <w:link w:val="BalloonTextChar"/>
    <w:rsid w:val="00D14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D56"/>
    <w:pPr>
      <w:spacing w:before="0" w:after="0"/>
    </w:pPr>
  </w:style>
  <w:style w:type="paragraph" w:customStyle="1" w:styleId="BodyTextBold">
    <w:name w:val="Body Text Bold"/>
    <w:basedOn w:val="BodyText"/>
    <w:qFormat/>
    <w:rsid w:val="00D14D56"/>
    <w:rPr>
      <w:b/>
    </w:rPr>
  </w:style>
  <w:style w:type="character" w:styleId="Hyperlink">
    <w:name w:val="Hyperlink"/>
    <w:basedOn w:val="DefaultParagraphFont"/>
    <w:uiPriority w:val="99"/>
    <w:unhideWhenUsed/>
    <w:rsid w:val="005C2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2837</Characters>
  <Application>Microsoft Office Word</Application>
  <DocSecurity>0</DocSecurity>
  <Lines>81</Lines>
  <Paragraphs>68</Paragraphs>
  <ScaleCrop>false</ScaleCrop>
  <Company>Author-it Software Corporation Ltd.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AMPX302 Cure and corn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2023-01-24T22:57:00Z</dcterms:modified>
</cp:coreProperties>
</file>