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7BE1" w:rsidP="00CC7B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AMPX216 Operate mincer</w:t>
      </w:r>
      <w:r>
        <w:fldChar w:fldCharType="end"/>
      </w:r>
    </w:p>
    <w:p w:rsidR="00CC7BE1" w:rsidP="00CC7BE1">
      <w:pPr>
        <w:pStyle w:val="Version"/>
        <w:sectPr w:rsidSect="00A70C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0CDB" w:rsidP="00A70CDB">
      <w:pPr>
        <w:pStyle w:val="SuperHeading"/>
      </w:pPr>
      <w:r w:rsidRPr="00A70CDB">
        <w:t>AMPX216 Operate mincer</w:t>
      </w:r>
    </w:p>
    <w:p w:rsidR="00000000" w:rsidRPr="00A70CDB" w:rsidP="00A70CDB">
      <w:pPr>
        <w:pStyle w:val="Heading1"/>
      </w:pPr>
      <w:bookmarkStart w:id="1" w:name="O_897328"/>
      <w:bookmarkEnd w:id="1"/>
      <w:r w:rsidRPr="00A70C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70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DB">
            <w:pPr>
              <w:pStyle w:val="TableHeading"/>
              <w:rPr>
                <w:lang w:val="en-NZ"/>
              </w:rPr>
            </w:pPr>
            <w:r w:rsidRPr="00A70CD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DB">
            <w:pPr>
              <w:pStyle w:val="TableHeading"/>
              <w:rPr>
                <w:lang w:val="en-NZ"/>
              </w:rPr>
            </w:pPr>
            <w:r w:rsidRPr="00A70CD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DB">
            <w:pPr>
              <w:pStyle w:val="TableHeading"/>
              <w:rPr>
                <w:lang w:val="en-NZ"/>
              </w:rPr>
            </w:pPr>
            <w:r w:rsidRPr="00A70CDB">
              <w:t>Comment</w:t>
            </w:r>
          </w:p>
        </w:tc>
      </w:tr>
      <w:tr w:rsidTr="00A70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DB">
            <w:pPr>
              <w:pStyle w:val="BodyText"/>
              <w:rPr>
                <w:lang w:val="en-NZ"/>
              </w:rPr>
            </w:pPr>
            <w:r w:rsidRPr="00A70CD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DB">
            <w:pPr>
              <w:pStyle w:val="BodyText"/>
              <w:rPr>
                <w:lang w:val="en-NZ"/>
              </w:rPr>
            </w:pPr>
            <w:r w:rsidRPr="00A70CD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CDB" w:rsidP="00A70CDB">
            <w:pPr>
              <w:pStyle w:val="BodyText"/>
            </w:pPr>
            <w:r w:rsidRPr="00A70CDB">
              <w:t>Initial release</w:t>
            </w:r>
          </w:p>
        </w:tc>
      </w:tr>
    </w:tbl>
    <w:p w:rsidR="00000000" w:rsidRPr="00A70CDB" w:rsidP="00A70CDB">
      <w:pPr>
        <w:pStyle w:val="BodyText"/>
      </w:pPr>
    </w:p>
    <w:p w:rsidR="00000000" w:rsidRPr="00A70CDB" w:rsidP="00A70CDB">
      <w:pPr>
        <w:pStyle w:val="AllowPageBreak"/>
      </w:pPr>
    </w:p>
    <w:p w:rsidR="00000000" w:rsidRPr="00A70CDB" w:rsidP="00A70CDB">
      <w:pPr>
        <w:pStyle w:val="Heading1"/>
      </w:pPr>
      <w:bookmarkStart w:id="2" w:name="O_897329"/>
      <w:bookmarkEnd w:id="2"/>
      <w:r w:rsidRPr="00A70CDB">
        <w:t>Application</w:t>
      </w:r>
    </w:p>
    <w:p w:rsidR="00000000" w:rsidRPr="00A70CDB" w:rsidP="00CC7BE1">
      <w:pPr>
        <w:pStyle w:val="BodyText"/>
      </w:pPr>
      <w:r w:rsidRPr="00A70CDB">
        <w:t xml:space="preserve">This unit describes the skills and knowledge required to operate and maintain mincing machinery, select product for mincing and monitor finished product to achieve </w:t>
      </w:r>
      <w:r w:rsidRPr="00A70CDB">
        <w:t>quality specifications.</w:t>
      </w:r>
    </w:p>
    <w:p w:rsidR="00000000" w:rsidRPr="00A70CDB" w:rsidP="00CC7BE1">
      <w:pPr>
        <w:pStyle w:val="BodyText"/>
      </w:pPr>
      <w:r w:rsidRPr="00A70CDB">
        <w:t>This unit is applicable to workers in boning rooms, knackeries, pet food stores, food services operations, smallgoods plants, wholesale or retail butcheries.</w:t>
      </w:r>
    </w:p>
    <w:p w:rsidR="00000000" w:rsidRPr="00A70CDB" w:rsidP="00CC7BE1">
      <w:pPr>
        <w:pStyle w:val="BodyText"/>
      </w:pPr>
      <w:r w:rsidRPr="00A70CDB">
        <w:t>All work should be carried out to comply with workplace and hygiene requ</w:t>
      </w:r>
      <w:r w:rsidRPr="00A70CDB">
        <w:t>irements.</w:t>
      </w:r>
    </w:p>
    <w:p w:rsidR="00000000" w:rsidRPr="00A70CDB" w:rsidP="00CC7BE1">
      <w:pPr>
        <w:pStyle w:val="BodyText"/>
      </w:pPr>
      <w:r w:rsidRPr="00A70CDB">
        <w:t>This unit applies to individuals who work under general supervision, exercise limited autonomy and have some accountability for their own work.</w:t>
      </w:r>
    </w:p>
    <w:p w:rsidR="00000000" w:rsidRPr="00A70CDB" w:rsidP="00CC7BE1">
      <w:pPr>
        <w:pStyle w:val="BodyText"/>
      </w:pPr>
      <w:r w:rsidRPr="00A70CDB">
        <w:t>No occupational licensing, legislative or certification requirements are known to apply to this unit</w:t>
      </w:r>
      <w:r w:rsidRPr="00A70CDB">
        <w:t xml:space="preserve"> at the time of publication.</w:t>
      </w:r>
    </w:p>
    <w:p w:rsidR="00000000" w:rsidRPr="00A70CDB" w:rsidP="00CC7BE1">
      <w:pPr>
        <w:pStyle w:val="BodyText"/>
      </w:pPr>
      <w:r w:rsidRPr="00A70CDB">
        <w:t>This unit must be delivered and assessed in the context of Australian meat industry standards and regulations.</w:t>
      </w:r>
    </w:p>
    <w:p w:rsidR="00000000" w:rsidRPr="00A70CDB" w:rsidP="00A70CDB">
      <w:pPr>
        <w:pStyle w:val="Heading1"/>
      </w:pPr>
      <w:bookmarkStart w:id="3" w:name="O_897330"/>
      <w:bookmarkEnd w:id="3"/>
      <w:r w:rsidRPr="00A70CDB">
        <w:t>Pre-requisite Unit</w:t>
      </w:r>
    </w:p>
    <w:p w:rsidR="00000000" w:rsidRPr="00A70CDB" w:rsidP="00CC7BE1">
      <w:pPr>
        <w:pStyle w:val="BodyText"/>
      </w:pPr>
      <w:r w:rsidRPr="00A70CDB">
        <w:t>Nil.</w:t>
      </w:r>
    </w:p>
    <w:p w:rsidR="00000000" w:rsidRPr="00A70CDB" w:rsidP="00A70CDB">
      <w:pPr>
        <w:pStyle w:val="Heading1"/>
      </w:pPr>
      <w:bookmarkStart w:id="4" w:name="O_897332"/>
      <w:bookmarkEnd w:id="4"/>
      <w:r w:rsidRPr="00A70CDB">
        <w:t>Unit Sector</w:t>
      </w:r>
    </w:p>
    <w:p w:rsidR="00000000" w:rsidRPr="00A70CDB" w:rsidP="00A70CDB">
      <w:pPr>
        <w:pStyle w:val="Heading1"/>
      </w:pPr>
      <w:bookmarkStart w:id="5" w:name="O_897333"/>
      <w:bookmarkEnd w:id="5"/>
      <w:r w:rsidRPr="00A70CDB">
        <w:t>Elements and Performance Crit</w:t>
      </w:r>
      <w:r w:rsidRPr="00A70CDB">
        <w:t>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CC7BE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DB">
            <w:pPr>
              <w:pStyle w:val="TableHeading"/>
              <w:rPr>
                <w:lang w:val="en-NZ"/>
              </w:rPr>
            </w:pPr>
            <w:r w:rsidRPr="00A70CDB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DB">
            <w:pPr>
              <w:pStyle w:val="TableHeading"/>
              <w:rPr>
                <w:lang w:val="en-NZ"/>
              </w:rPr>
            </w:pPr>
            <w:r w:rsidRPr="00A70CDB">
              <w:t>Performance criteria</w:t>
            </w:r>
          </w:p>
        </w:tc>
      </w:tr>
      <w:tr w:rsidTr="00CC7BE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DB">
            <w:pPr>
              <w:pStyle w:val="BodyText"/>
              <w:rPr>
                <w:lang w:val="en-NZ"/>
              </w:rPr>
            </w:pPr>
            <w:r w:rsidRPr="00A70CDB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DB">
            <w:pPr>
              <w:pStyle w:val="BodyText"/>
              <w:rPr>
                <w:lang w:val="en-NZ"/>
              </w:rPr>
            </w:pPr>
            <w:r w:rsidRPr="00A70CDB">
              <w:t>Performance criteria describe the performance needed to demonstrate achievement of the element.</w:t>
            </w:r>
          </w:p>
        </w:tc>
      </w:tr>
      <w:tr w:rsidTr="00CC7BE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DB">
            <w:pPr>
              <w:pStyle w:val="List"/>
              <w:rPr>
                <w:lang w:val="en-NZ"/>
              </w:rPr>
            </w:pPr>
            <w:r w:rsidRPr="00A70CDB">
              <w:t>1.</w:t>
            </w:r>
            <w:r w:rsidRPr="00A70CDB">
              <w:tab/>
              <w:t>Mince meat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CDB" w:rsidP="00A70CDB">
            <w:pPr>
              <w:pStyle w:val="List"/>
            </w:pPr>
            <w:r w:rsidRPr="00A70CDB">
              <w:t>1.1</w:t>
            </w:r>
            <w:r w:rsidRPr="00A70CDB">
              <w:tab/>
            </w:r>
            <w:r w:rsidRPr="00A70CDB">
              <w:t>Operate mincer in accordance with workplace requirements and manufacturer</w:t>
            </w:r>
            <w:r>
              <w:t>’</w:t>
            </w:r>
            <w:r w:rsidRPr="00A70CDB">
              <w:t>s specifications</w:t>
            </w:r>
          </w:p>
          <w:p w:rsidR="00000000" w:rsidRPr="00A70CDB" w:rsidP="00A70CDB">
            <w:pPr>
              <w:pStyle w:val="List"/>
            </w:pPr>
            <w:r w:rsidRPr="00A70CDB">
              <w:t>1.2</w:t>
            </w:r>
            <w:r w:rsidRPr="00A70CDB">
              <w:tab/>
              <w:t>Operate mincer in accordance with workplace health and safety requirements</w:t>
            </w:r>
          </w:p>
          <w:p w:rsidR="00000000" w:rsidP="00A70CDB">
            <w:pPr>
              <w:pStyle w:val="List"/>
              <w:rPr>
                <w:lang w:val="en-NZ"/>
              </w:rPr>
            </w:pPr>
            <w:r w:rsidRPr="00A70CDB">
              <w:t>1.3</w:t>
            </w:r>
            <w:r w:rsidRPr="00A70CDB">
              <w:tab/>
              <w:t>Monitor input and output to ensure compliance with Quality Assurance (QA) requirem</w:t>
            </w:r>
            <w:r w:rsidRPr="00A70CDB">
              <w:t>ents</w:t>
            </w:r>
          </w:p>
        </w:tc>
      </w:tr>
      <w:tr w:rsidTr="00CC7BE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DB">
            <w:pPr>
              <w:pStyle w:val="List"/>
              <w:rPr>
                <w:lang w:val="en-NZ"/>
              </w:rPr>
            </w:pPr>
            <w:r w:rsidRPr="00A70CDB">
              <w:t>2.</w:t>
            </w:r>
            <w:r w:rsidRPr="00A70CDB">
              <w:tab/>
              <w:t>Maintain mincer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CDB" w:rsidP="00A70CDB">
            <w:pPr>
              <w:pStyle w:val="List"/>
            </w:pPr>
            <w:r w:rsidRPr="00A70CDB">
              <w:t>2.1</w:t>
            </w:r>
            <w:r w:rsidRPr="00A70CDB">
              <w:tab/>
              <w:t>Follow mincer start-up procedures in accordance with work instructions</w:t>
            </w:r>
          </w:p>
          <w:p w:rsidR="00000000" w:rsidRPr="00A70CDB" w:rsidP="00A70CDB">
            <w:pPr>
              <w:pStyle w:val="List"/>
            </w:pPr>
            <w:r w:rsidRPr="00A70CDB">
              <w:t>2.2</w:t>
            </w:r>
            <w:r w:rsidRPr="00A70CDB">
              <w:tab/>
              <w:t>Perform routine maintenance and cleaning in accordance with work instructions</w:t>
            </w:r>
          </w:p>
        </w:tc>
      </w:tr>
    </w:tbl>
    <w:p w:rsidR="00000000" w:rsidRPr="00A70CDB" w:rsidP="00A70CDB">
      <w:pPr>
        <w:pStyle w:val="BodyText"/>
      </w:pPr>
    </w:p>
    <w:p w:rsidR="00000000" w:rsidRPr="00A70CDB" w:rsidP="00A70CDB">
      <w:pPr>
        <w:pStyle w:val="AllowPageBreak"/>
      </w:pPr>
    </w:p>
    <w:p w:rsidR="00000000" w:rsidRPr="00A70CDB" w:rsidP="00A70CDB">
      <w:pPr>
        <w:pStyle w:val="Heading1"/>
      </w:pPr>
      <w:bookmarkStart w:id="6" w:name="O_897334"/>
      <w:bookmarkEnd w:id="6"/>
      <w:r w:rsidRPr="00A70CDB">
        <w:t>Foundation Skills</w:t>
      </w:r>
    </w:p>
    <w:p w:rsidR="00000000" w:rsidRPr="00A70CDB" w:rsidP="00CC7BE1">
      <w:pPr>
        <w:pStyle w:val="BodyText"/>
      </w:pPr>
      <w:r w:rsidRPr="00A70CDB">
        <w:t>Foundation Skills essential to performance are explicit in the performance criteria of this unit of competency.</w:t>
      </w:r>
    </w:p>
    <w:p w:rsidR="00000000" w:rsidRPr="00A70CDB" w:rsidP="00A70CDB">
      <w:pPr>
        <w:pStyle w:val="Heading1"/>
      </w:pPr>
      <w:bookmarkStart w:id="7" w:name="O_897335"/>
      <w:bookmarkEnd w:id="7"/>
      <w:r w:rsidRPr="00A70CDB">
        <w:t>Range of Conditions</w:t>
      </w:r>
    </w:p>
    <w:p w:rsidR="00000000" w:rsidRPr="00A70CDB" w:rsidP="00A70CDB">
      <w:pPr>
        <w:pStyle w:val="Heading1"/>
      </w:pPr>
      <w:bookmarkStart w:id="8" w:name="O_897336"/>
      <w:bookmarkEnd w:id="8"/>
      <w:r w:rsidRPr="00A70CDB">
        <w:t>Unit Mapping Information</w:t>
      </w:r>
    </w:p>
    <w:p w:rsidR="00000000" w:rsidRPr="00A70CDB" w:rsidP="00CC7BE1">
      <w:pPr>
        <w:pStyle w:val="BodyText"/>
      </w:pPr>
      <w:r w:rsidRPr="00A70CDB">
        <w:t>This unit is equivalent to MTMP2040C Operate mincer.</w:t>
      </w:r>
    </w:p>
    <w:p w:rsidR="00000000" w:rsidRPr="00A70CDB" w:rsidP="00A70CDB">
      <w:pPr>
        <w:pStyle w:val="Heading1"/>
      </w:pPr>
      <w:bookmarkStart w:id="9" w:name="O_897343"/>
      <w:bookmarkEnd w:id="9"/>
      <w:r w:rsidRPr="00A70CDB">
        <w:t>Links</w:t>
      </w:r>
    </w:p>
    <w:p w:rsidR="00000000" w:rsidRPr="00A70CDB" w:rsidP="00CC7BE1">
      <w:pPr>
        <w:pStyle w:val="BodyText"/>
      </w:pPr>
      <w:r w:rsidRPr="00A70C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03A5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70CDB" w:rsidP="00CC7BE1">
      <w:pPr>
        <w:pStyle w:val="BodyText"/>
        <w:sectPr w:rsidSect="00A70C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70CDB" w:rsidP="00A70CDB">
      <w:pPr>
        <w:pStyle w:val="SuperHeading"/>
      </w:pPr>
      <w:r w:rsidRPr="00A70CDB">
        <w:t>Assessment Requirements for AMPX216 Operate mincer</w:t>
      </w:r>
    </w:p>
    <w:p w:rsidR="00000000" w:rsidRPr="00A70CDB" w:rsidP="00A70CDB">
      <w:pPr>
        <w:pStyle w:val="Heading1"/>
      </w:pPr>
      <w:bookmarkStart w:id="10" w:name="O_897338"/>
      <w:bookmarkEnd w:id="10"/>
      <w:r w:rsidRPr="00A70C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70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DB">
            <w:pPr>
              <w:pStyle w:val="TableHeading"/>
              <w:rPr>
                <w:lang w:val="en-NZ"/>
              </w:rPr>
            </w:pPr>
            <w:r w:rsidRPr="00A70CD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DB">
            <w:pPr>
              <w:pStyle w:val="TableHeading"/>
              <w:rPr>
                <w:lang w:val="en-NZ"/>
              </w:rPr>
            </w:pPr>
            <w:r w:rsidRPr="00A70CD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DB">
            <w:pPr>
              <w:pStyle w:val="TableHeading"/>
              <w:rPr>
                <w:lang w:val="en-NZ"/>
              </w:rPr>
            </w:pPr>
            <w:r w:rsidRPr="00A70CDB">
              <w:t>Comment</w:t>
            </w:r>
          </w:p>
        </w:tc>
      </w:tr>
      <w:tr w:rsidTr="00A70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DB">
            <w:pPr>
              <w:pStyle w:val="BodyText"/>
              <w:rPr>
                <w:lang w:val="en-NZ"/>
              </w:rPr>
            </w:pPr>
            <w:r w:rsidRPr="00A70CD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DB">
            <w:pPr>
              <w:pStyle w:val="BodyText"/>
              <w:rPr>
                <w:lang w:val="en-NZ"/>
              </w:rPr>
            </w:pPr>
            <w:r w:rsidRPr="00A70CD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CDB" w:rsidP="00A70CDB">
            <w:pPr>
              <w:pStyle w:val="BodyText"/>
            </w:pPr>
            <w:r w:rsidRPr="00A70CDB">
              <w:t>Initial release</w:t>
            </w:r>
          </w:p>
        </w:tc>
      </w:tr>
    </w:tbl>
    <w:p w:rsidR="00000000" w:rsidRPr="00A70CDB" w:rsidP="00A70CDB">
      <w:pPr>
        <w:pStyle w:val="BodyText"/>
      </w:pPr>
    </w:p>
    <w:p w:rsidR="00000000" w:rsidRPr="00A70CDB" w:rsidP="00A70CDB">
      <w:pPr>
        <w:pStyle w:val="AllowPageBreak"/>
      </w:pPr>
    </w:p>
    <w:p w:rsidR="00000000" w:rsidRPr="00A70CDB" w:rsidP="00A70CDB">
      <w:pPr>
        <w:pStyle w:val="Heading1"/>
      </w:pPr>
      <w:bookmarkStart w:id="11" w:name="O_897339"/>
      <w:bookmarkEnd w:id="11"/>
      <w:r w:rsidRPr="00A70CDB">
        <w:t>Performance Evidence</w:t>
      </w:r>
    </w:p>
    <w:p w:rsidR="00000000" w:rsidRPr="00A70CDB" w:rsidP="00CC7BE1">
      <w:pPr>
        <w:pStyle w:val="BodyText"/>
      </w:pPr>
      <w:r w:rsidRPr="00A70CDB">
        <w:t>The candidate must operate and maintain mincing machinery, select product for mincing and monitor finished product to achieve quality specifications.</w:t>
      </w:r>
    </w:p>
    <w:p w:rsidR="00000000" w:rsidRPr="00A70CDB" w:rsidP="00CC7BE1">
      <w:pPr>
        <w:pStyle w:val="BodyText"/>
      </w:pPr>
      <w:r w:rsidRPr="00A70CDB">
        <w:t xml:space="preserve">The candidate must: </w:t>
      </w:r>
    </w:p>
    <w:p w:rsidR="00000000" w:rsidRPr="00A70CDB" w:rsidP="00A70CDB">
      <w:pPr>
        <w:pStyle w:val="ListBullet"/>
      </w:pPr>
      <w:r w:rsidRPr="00A70CDB">
        <w:t>operate mincer in accordance with work instructions and manufacturer specifications</w:t>
      </w:r>
    </w:p>
    <w:p w:rsidR="00000000" w:rsidRPr="00A70CDB" w:rsidP="00A70CDB">
      <w:pPr>
        <w:pStyle w:val="ListBullet"/>
      </w:pPr>
      <w:r w:rsidRPr="00A70CDB">
        <w:t>monitor minced product to ensure compliance with customer or workplace specifications</w:t>
      </w:r>
    </w:p>
    <w:p w:rsidR="00000000" w:rsidRPr="00A70CDB" w:rsidP="00A70CDB">
      <w:pPr>
        <w:pStyle w:val="ListBullet"/>
      </w:pPr>
      <w:r w:rsidRPr="00A70CDB">
        <w:t>monitor product to be minced to ensure compliance with QA specifications</w:t>
      </w:r>
    </w:p>
    <w:p w:rsidR="00000000" w:rsidRPr="00A70CDB" w:rsidP="00A70CDB">
      <w:pPr>
        <w:pStyle w:val="ListBullet"/>
      </w:pPr>
      <w:r w:rsidRPr="00A70CDB">
        <w:t>consistently follow hygiene and sanitation procedures associated with the operation of the mince</w:t>
      </w:r>
      <w:r w:rsidRPr="00A70CDB">
        <w:t>r</w:t>
      </w:r>
    </w:p>
    <w:p w:rsidR="00000000" w:rsidRPr="00A70CDB" w:rsidP="00A70CDB">
      <w:pPr>
        <w:pStyle w:val="ListBullet"/>
      </w:pPr>
      <w:r w:rsidRPr="00A70CDB">
        <w:t>report equipment faults according to workplace requirements</w:t>
      </w:r>
    </w:p>
    <w:p w:rsidR="00000000" w:rsidRPr="00A70CDB" w:rsidP="00A70CDB">
      <w:pPr>
        <w:pStyle w:val="ListBullet"/>
      </w:pPr>
      <w:r w:rsidRPr="00A70CDB">
        <w:t>maintain mincer in accordance with work instructions</w:t>
      </w:r>
    </w:p>
    <w:p w:rsidR="00000000" w:rsidRPr="00A70CDB" w:rsidP="00A70CDB">
      <w:pPr>
        <w:pStyle w:val="ListBullet"/>
      </w:pPr>
      <w:r w:rsidRPr="00A70CDB">
        <w:t>apply relevant regulatory requirements</w:t>
      </w:r>
    </w:p>
    <w:p w:rsidR="00000000" w:rsidRPr="00A70CDB" w:rsidP="00A70CDB">
      <w:pPr>
        <w:pStyle w:val="ListBullet"/>
      </w:pPr>
      <w:r w:rsidRPr="00A70CDB">
        <w:t>use communication skills relevant to work instructions and Standard Operating Procedures (SOPs)</w:t>
      </w:r>
    </w:p>
    <w:p w:rsidR="00000000" w:rsidRPr="00A70CDB" w:rsidP="00A70CDB">
      <w:pPr>
        <w:pStyle w:val="AllowPageBreak"/>
      </w:pPr>
    </w:p>
    <w:p w:rsidR="00000000" w:rsidRPr="00A70CDB" w:rsidP="00A70CDB">
      <w:pPr>
        <w:pStyle w:val="Heading1"/>
      </w:pPr>
      <w:bookmarkStart w:id="12" w:name="O_897340"/>
      <w:bookmarkEnd w:id="12"/>
      <w:r w:rsidRPr="00A70CDB">
        <w:t>Knowledge Evidence</w:t>
      </w:r>
    </w:p>
    <w:p w:rsidR="00000000" w:rsidRPr="00A70CDB" w:rsidP="00CC7BE1">
      <w:pPr>
        <w:pStyle w:val="BodyText"/>
      </w:pPr>
      <w:r w:rsidRPr="00A70CDB">
        <w:t xml:space="preserve">The candidate must demonstrate a basic factual, technical and procedural knowledge of: </w:t>
      </w:r>
    </w:p>
    <w:p w:rsidR="00000000" w:rsidRPr="00A70CDB" w:rsidP="00A70CDB">
      <w:pPr>
        <w:pStyle w:val="ListBullet"/>
      </w:pPr>
      <w:r w:rsidRPr="00A70CDB">
        <w:t>operation and adjustment of the mincer</w:t>
      </w:r>
    </w:p>
    <w:p w:rsidR="00000000" w:rsidRPr="00A70CDB" w:rsidP="00A70CDB">
      <w:pPr>
        <w:pStyle w:val="ListBullet"/>
      </w:pPr>
      <w:r w:rsidRPr="00A70CDB">
        <w:t>work instructions for operating the mincer</w:t>
      </w:r>
    </w:p>
    <w:p w:rsidR="00000000" w:rsidRPr="00A70CDB" w:rsidP="00A70CDB">
      <w:pPr>
        <w:pStyle w:val="ListBullet"/>
      </w:pPr>
      <w:r w:rsidRPr="00A70CDB">
        <w:t>relevant regulatory requirements</w:t>
      </w:r>
    </w:p>
    <w:p w:rsidR="00000000" w:rsidRPr="00A70CDB" w:rsidP="00A70CDB">
      <w:pPr>
        <w:pStyle w:val="ListBullet"/>
      </w:pPr>
      <w:r w:rsidRPr="00A70CDB">
        <w:t>potential workpla</w:t>
      </w:r>
      <w:r w:rsidRPr="00A70CDB">
        <w:t>ce health and safety risks</w:t>
      </w:r>
    </w:p>
    <w:p w:rsidR="00000000" w:rsidRPr="00A70CDB" w:rsidP="00A70CDB">
      <w:pPr>
        <w:pStyle w:val="ListBullet"/>
      </w:pPr>
      <w:r w:rsidRPr="00A70CDB">
        <w:t>potential sources of contamination</w:t>
      </w:r>
    </w:p>
    <w:p w:rsidR="00000000" w:rsidRPr="00A70CDB" w:rsidP="00A70CDB">
      <w:pPr>
        <w:pStyle w:val="AllowPageBreak"/>
      </w:pPr>
    </w:p>
    <w:p w:rsidR="00000000" w:rsidRPr="00A70CDB" w:rsidP="00A70CDB">
      <w:pPr>
        <w:pStyle w:val="Heading1"/>
      </w:pPr>
      <w:bookmarkStart w:id="13" w:name="O_897341"/>
      <w:bookmarkEnd w:id="13"/>
      <w:r w:rsidRPr="00A70CDB">
        <w:t>Assessment Conditions</w:t>
      </w:r>
    </w:p>
    <w:p w:rsidR="00000000" w:rsidRPr="00A70CDB" w:rsidP="00CC7BE1">
      <w:pPr>
        <w:pStyle w:val="BodyText"/>
      </w:pPr>
      <w:r w:rsidRPr="00A70CDB">
        <w:t>Assessment must be conducted using a mincer in an actual or simulated environment.</w:t>
      </w:r>
    </w:p>
    <w:p w:rsidR="00000000" w:rsidRPr="00A70CDB" w:rsidP="00CC7BE1">
      <w:pPr>
        <w:pStyle w:val="BodyText"/>
      </w:pPr>
      <w:r w:rsidRPr="00A70CDB">
        <w:t>Candidate must be able to operate a mincer to produce minced meat produ</w:t>
      </w:r>
      <w:r w:rsidRPr="00A70CDB">
        <w:t>cts over a period of time under normal operating conditions of the workplace.</w:t>
      </w:r>
    </w:p>
    <w:p w:rsidR="00000000" w:rsidRPr="00A70CDB" w:rsidP="00CC7BE1">
      <w:pPr>
        <w:pStyle w:val="BodyText"/>
      </w:pPr>
      <w:r w:rsidRPr="00A70CDB">
        <w:t xml:space="preserve">As a minimum, the following three forms of assessment must be used: </w:t>
      </w:r>
    </w:p>
    <w:p w:rsidR="00000000" w:rsidRPr="00A70CDB" w:rsidP="00A70CDB">
      <w:pPr>
        <w:pStyle w:val="ListBullet"/>
      </w:pPr>
      <w:r w:rsidRPr="00A70CDB">
        <w:t>quiz of underpinning knowledge</w:t>
      </w:r>
    </w:p>
    <w:p w:rsidR="00000000" w:rsidRPr="00A70CDB" w:rsidP="00A70CDB">
      <w:pPr>
        <w:pStyle w:val="ListBullet"/>
      </w:pPr>
      <w:r w:rsidRPr="00A70CDB">
        <w:t xml:space="preserve">workplace demonstration </w:t>
      </w:r>
    </w:p>
    <w:p w:rsidR="00000000" w:rsidRPr="00A70CDB" w:rsidP="00A70CDB">
      <w:pPr>
        <w:pStyle w:val="ListBullet"/>
      </w:pPr>
      <w:r w:rsidRPr="00A70CDB">
        <w:t>workplace referee or third-party report of performance over time</w:t>
      </w:r>
    </w:p>
    <w:p w:rsidR="00000000" w:rsidRPr="00A70CDB" w:rsidP="00A70CDB">
      <w:pPr>
        <w:pStyle w:val="BodyText"/>
      </w:pPr>
    </w:p>
    <w:p w:rsidR="00000000" w:rsidRPr="00A70CDB" w:rsidP="00CC7BE1">
      <w:pPr>
        <w:pStyle w:val="BodyText"/>
      </w:pPr>
      <w:r w:rsidRPr="00A70CDB">
        <w:t>Assessors must satisfy the current standards for RTOs.</w:t>
      </w:r>
    </w:p>
    <w:p w:rsidR="00000000" w:rsidRPr="00A70CDB" w:rsidP="00A70CDB">
      <w:pPr>
        <w:pStyle w:val="Heading1"/>
      </w:pPr>
      <w:bookmarkStart w:id="14" w:name="O_897344"/>
      <w:bookmarkEnd w:id="14"/>
      <w:r w:rsidRPr="00A70CDB">
        <w:t>Links</w:t>
      </w:r>
    </w:p>
    <w:p w:rsidR="00000000" w:rsidRPr="00A70CDB" w:rsidP="00CC7BE1">
      <w:pPr>
        <w:pStyle w:val="BodyText"/>
      </w:pPr>
      <w:r w:rsidRPr="00A70C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03A5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70CDB" w:rsidP="00A70CDB"/>
    <w:sectPr w:rsidSect="00A70C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C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CDB" w:rsidRPr="00CC7BE1" w:rsidP="00CC7B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C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BE1" w:rsidP="00A70C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7BE1" w:rsidP="00A70C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C7BE1" w:rsidP="00A70C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CDB" w:rsidP="00A70C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7BE1">
      <w:t>Approved</w:t>
    </w:r>
    <w:r w:rsidR="00CC7B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7BE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7BE1">
      <w:rPr>
        <w:noProof/>
      </w:rPr>
      <w:t>4</w:t>
    </w:r>
    <w:r>
      <w:rPr>
        <w:noProof/>
      </w:rPr>
      <w:fldChar w:fldCharType="end"/>
    </w:r>
  </w:p>
  <w:p w:rsidR="00A70CDB" w:rsidP="00A70C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7B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7BE1">
      <w:t>Skills Insight</w:t>
    </w:r>
    <w:r w:rsidR="00CC7BE1">
      <w:fldChar w:fldCharType="end"/>
    </w:r>
  </w:p>
  <w:p w:rsidR="00A70CDB" w:rsidP="00A70C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C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B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0CDB" w:rsidRPr="00CC7BE1" w:rsidP="00CC7B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C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BE1" w:rsidRPr="002D2AF8" w:rsidP="00A70C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AMPX216 Operate mincer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C7BE1" w:rsidP="00A70C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CDB" w:rsidRPr="002D2AF8" w:rsidP="00A70C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7BE1">
      <w:t>AMPX216 Operate mincer</w:t>
    </w:r>
    <w:r w:rsidR="00CC7B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7BE1">
      <w:rPr>
        <w:noProof/>
      </w:rPr>
      <w:t>1 March 2025</w:t>
    </w:r>
    <w:r>
      <w:fldChar w:fldCharType="end"/>
    </w:r>
  </w:p>
  <w:p w:rsidR="00A70CDB" w:rsidP="00A70C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6428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6867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C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0C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0C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0C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0C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0C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0C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0C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0C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0C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0C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0CDB"/>
  </w:style>
  <w:style w:type="character" w:customStyle="1" w:styleId="Heading1Char">
    <w:name w:val="Heading 1 Char"/>
    <w:basedOn w:val="DefaultParagraphFont"/>
    <w:link w:val="Heading1"/>
    <w:rsid w:val="00A70C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0C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0CD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70C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0CD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70C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70CD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70C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0C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0C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0C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0C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0C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0C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0C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0C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0C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0C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0C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0C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0C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0C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0C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0C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0C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0CD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70C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0CDB"/>
    <w:rPr>
      <w:b/>
      <w:spacing w:val="0"/>
    </w:rPr>
  </w:style>
  <w:style w:type="paragraph" w:customStyle="1" w:styleId="SuperTitle">
    <w:name w:val="SuperTitle"/>
    <w:basedOn w:val="Title"/>
    <w:rsid w:val="00A70C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0C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0C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0C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0C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0C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0C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0C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0C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0C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0C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0C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0C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0CDB"/>
    <w:rPr>
      <w:i/>
    </w:rPr>
  </w:style>
  <w:style w:type="paragraph" w:styleId="Caption">
    <w:name w:val="caption"/>
    <w:basedOn w:val="BodyText"/>
    <w:next w:val="Normal"/>
    <w:qFormat/>
    <w:rsid w:val="00A70C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0C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0C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0CDB"/>
  </w:style>
  <w:style w:type="paragraph" w:styleId="TableofFigures">
    <w:name w:val="table of figures"/>
    <w:basedOn w:val="Normal"/>
    <w:next w:val="Normal"/>
    <w:semiHidden/>
    <w:rsid w:val="00A70C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0C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0CDB"/>
    <w:rPr>
      <w:rFonts w:ascii="Wingdings" w:hAnsi="Wingdings"/>
    </w:rPr>
  </w:style>
  <w:style w:type="character" w:customStyle="1" w:styleId="HotSpot">
    <w:name w:val="HotSpot"/>
    <w:rsid w:val="00A70CDB"/>
    <w:rPr>
      <w:color w:val="0033CC"/>
      <w:u w:val="none"/>
    </w:rPr>
  </w:style>
  <w:style w:type="paragraph" w:customStyle="1" w:styleId="BodyTextRight">
    <w:name w:val="Body Text Right"/>
    <w:basedOn w:val="BodyText"/>
    <w:rsid w:val="00A70C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0C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0C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0C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0C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0C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0CDB"/>
    <w:rPr>
      <w:sz w:val="32"/>
    </w:rPr>
  </w:style>
  <w:style w:type="paragraph" w:customStyle="1" w:styleId="HeadingProcedure">
    <w:name w:val="Heading Procedure"/>
    <w:basedOn w:val="HeadingBase"/>
    <w:next w:val="Normal"/>
    <w:rsid w:val="00A70C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0CDB"/>
    <w:pPr>
      <w:spacing w:before="60" w:after="60"/>
    </w:pPr>
  </w:style>
  <w:style w:type="paragraph" w:styleId="ListContinue">
    <w:name w:val="List Continue"/>
    <w:basedOn w:val="List"/>
    <w:rsid w:val="00A70CDB"/>
    <w:pPr>
      <w:ind w:firstLine="0"/>
    </w:pPr>
  </w:style>
  <w:style w:type="paragraph" w:customStyle="1" w:styleId="ListNote">
    <w:name w:val="List Note"/>
    <w:basedOn w:val="List"/>
    <w:rsid w:val="00A70C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0C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0C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0CDB"/>
    <w:rPr>
      <w:rFonts w:ascii="Courier New" w:hAnsi="Courier New"/>
    </w:rPr>
  </w:style>
  <w:style w:type="paragraph" w:customStyle="1" w:styleId="NoteBullet">
    <w:name w:val="Note Bullet"/>
    <w:basedOn w:val="Note"/>
    <w:rsid w:val="00A70C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0C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0C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0C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0C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0C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0C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0CDB"/>
    <w:rPr>
      <w:b/>
      <w:smallCaps/>
    </w:rPr>
  </w:style>
  <w:style w:type="paragraph" w:customStyle="1" w:styleId="TableListNumber">
    <w:name w:val="Table List Number"/>
    <w:basedOn w:val="ListNumber"/>
    <w:rsid w:val="00A70C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0C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0CDB"/>
    <w:pPr>
      <w:numPr>
        <w:numId w:val="8"/>
      </w:numPr>
    </w:pPr>
  </w:style>
  <w:style w:type="paragraph" w:customStyle="1" w:styleId="ListAlpha2">
    <w:name w:val="List Alpha 2"/>
    <w:basedOn w:val="List2"/>
    <w:rsid w:val="00A70CDB"/>
    <w:pPr>
      <w:numPr>
        <w:numId w:val="7"/>
      </w:numPr>
    </w:pPr>
  </w:style>
  <w:style w:type="paragraph" w:styleId="List2">
    <w:name w:val="List 2"/>
    <w:basedOn w:val="BodyText"/>
    <w:rsid w:val="00A70C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0C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0C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0C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0C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0C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0CDB"/>
    <w:pPr>
      <w:numPr>
        <w:numId w:val="3"/>
      </w:numPr>
    </w:pPr>
  </w:style>
  <w:style w:type="paragraph" w:styleId="ListContinue2">
    <w:name w:val="List Continue 2"/>
    <w:basedOn w:val="List2"/>
    <w:rsid w:val="00A70CDB"/>
    <w:pPr>
      <w:ind w:firstLine="0"/>
    </w:pPr>
  </w:style>
  <w:style w:type="paragraph" w:styleId="ListContinue3">
    <w:name w:val="List Continue 3"/>
    <w:basedOn w:val="List3"/>
    <w:rsid w:val="00A70CDB"/>
    <w:pPr>
      <w:ind w:left="1021" w:firstLine="0"/>
    </w:pPr>
  </w:style>
  <w:style w:type="paragraph" w:styleId="ListContinue4">
    <w:name w:val="List Continue 4"/>
    <w:basedOn w:val="List4"/>
    <w:rsid w:val="00A70CDB"/>
    <w:pPr>
      <w:ind w:firstLine="0"/>
    </w:pPr>
  </w:style>
  <w:style w:type="paragraph" w:styleId="ListContinue5">
    <w:name w:val="List Continue 5"/>
    <w:basedOn w:val="List5"/>
    <w:rsid w:val="00A70CDB"/>
    <w:pPr>
      <w:ind w:firstLine="0"/>
    </w:pPr>
  </w:style>
  <w:style w:type="paragraph" w:styleId="ListNumber3">
    <w:name w:val="List Number 3"/>
    <w:basedOn w:val="List3"/>
    <w:rsid w:val="00A70CDB"/>
    <w:pPr>
      <w:numPr>
        <w:numId w:val="4"/>
      </w:numPr>
    </w:pPr>
  </w:style>
  <w:style w:type="paragraph" w:styleId="ListNumber4">
    <w:name w:val="List Number 4"/>
    <w:basedOn w:val="List4"/>
    <w:rsid w:val="00A70CDB"/>
    <w:pPr>
      <w:numPr>
        <w:numId w:val="5"/>
      </w:numPr>
    </w:pPr>
  </w:style>
  <w:style w:type="paragraph" w:styleId="ListNumber5">
    <w:name w:val="List Number 5"/>
    <w:basedOn w:val="List5"/>
    <w:rsid w:val="00A70CDB"/>
    <w:pPr>
      <w:numPr>
        <w:numId w:val="6"/>
      </w:numPr>
    </w:pPr>
  </w:style>
  <w:style w:type="paragraph" w:styleId="BlockText">
    <w:name w:val="Block Text"/>
    <w:basedOn w:val="Normal"/>
    <w:rsid w:val="00A70C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0C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0CDB"/>
    <w:rPr>
      <w:sz w:val="16"/>
      <w:vertAlign w:val="superscript"/>
    </w:rPr>
  </w:style>
  <w:style w:type="character" w:customStyle="1" w:styleId="Symbols">
    <w:name w:val="Symbols"/>
    <w:basedOn w:val="DefaultParagraphFont"/>
    <w:rsid w:val="00A70CDB"/>
    <w:rPr>
      <w:rFonts w:ascii="Symbol" w:hAnsi="Symbol"/>
    </w:rPr>
  </w:style>
  <w:style w:type="character" w:customStyle="1" w:styleId="MenuOptions">
    <w:name w:val="Menu Options"/>
    <w:basedOn w:val="DefaultParagraphFont"/>
    <w:rsid w:val="00A70C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0CDB"/>
    <w:rPr>
      <w:b/>
    </w:rPr>
  </w:style>
  <w:style w:type="character" w:customStyle="1" w:styleId="Underlined">
    <w:name w:val="Underlined"/>
    <w:basedOn w:val="DefaultParagraphFont"/>
    <w:rsid w:val="00A70CDB"/>
    <w:rPr>
      <w:u w:val="single"/>
    </w:rPr>
  </w:style>
  <w:style w:type="paragraph" w:customStyle="1" w:styleId="TableBodyTextRight">
    <w:name w:val="Table Body Text Right"/>
    <w:basedOn w:val="TableBodyText"/>
    <w:rsid w:val="00A70C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0CDB"/>
    <w:rPr>
      <w:sz w:val="18"/>
    </w:rPr>
  </w:style>
  <w:style w:type="paragraph" w:customStyle="1" w:styleId="BodySmallRight">
    <w:name w:val="Body Small Right"/>
    <w:basedOn w:val="BodyTextRight"/>
    <w:rsid w:val="00A70CDB"/>
    <w:rPr>
      <w:sz w:val="18"/>
      <w:szCs w:val="18"/>
    </w:rPr>
  </w:style>
  <w:style w:type="paragraph" w:customStyle="1" w:styleId="MarginEdition">
    <w:name w:val="Margin Edition"/>
    <w:basedOn w:val="MarginNote"/>
    <w:rsid w:val="00A70C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0CDB"/>
    <w:rPr>
      <w:sz w:val="2"/>
      <w:szCs w:val="2"/>
    </w:rPr>
  </w:style>
  <w:style w:type="character" w:customStyle="1" w:styleId="Small">
    <w:name w:val="Small"/>
    <w:basedOn w:val="DefaultParagraphFont"/>
    <w:rsid w:val="00A70CDB"/>
    <w:rPr>
      <w:sz w:val="16"/>
    </w:rPr>
  </w:style>
  <w:style w:type="paragraph" w:customStyle="1" w:styleId="WideTable">
    <w:name w:val="Wide Table"/>
    <w:basedOn w:val="Normal"/>
    <w:rsid w:val="00A70C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0CDB"/>
  </w:style>
  <w:style w:type="paragraph" w:styleId="Quote">
    <w:name w:val="Quote"/>
    <w:basedOn w:val="Heading1"/>
    <w:link w:val="QuoteChar"/>
    <w:qFormat/>
    <w:rsid w:val="00A70C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0C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0CDB"/>
    <w:pPr>
      <w:pageBreakBefore/>
    </w:pPr>
  </w:style>
  <w:style w:type="paragraph" w:customStyle="1" w:styleId="Border">
    <w:name w:val="Border"/>
    <w:basedOn w:val="Normal"/>
    <w:qFormat/>
    <w:rsid w:val="00A70C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0C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C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C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0C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0C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0C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0C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0C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0CDB"/>
    <w:rPr>
      <w:u w:val="single"/>
    </w:rPr>
  </w:style>
  <w:style w:type="character" w:customStyle="1" w:styleId="BoldandItalics">
    <w:name w:val="Bold and Italics"/>
    <w:qFormat/>
    <w:rsid w:val="00A70CDB"/>
    <w:rPr>
      <w:b/>
      <w:i/>
      <w:u w:val="none"/>
    </w:rPr>
  </w:style>
  <w:style w:type="paragraph" w:styleId="BalloonText">
    <w:name w:val="Balloon Text"/>
    <w:basedOn w:val="Normal"/>
    <w:link w:val="BalloonTextChar"/>
    <w:rsid w:val="00A70C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0C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0C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0C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0C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0C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0CDB"/>
    <w:pPr>
      <w:spacing w:before="0" w:after="0"/>
    </w:pPr>
  </w:style>
  <w:style w:type="paragraph" w:customStyle="1" w:styleId="BodyTextBold">
    <w:name w:val="Body Text Bold"/>
    <w:basedOn w:val="BodyText"/>
    <w:qFormat/>
    <w:rsid w:val="00A70CDB"/>
    <w:rPr>
      <w:b/>
    </w:rPr>
  </w:style>
  <w:style w:type="character" w:styleId="Hyperlink">
    <w:name w:val="Hyperlink"/>
    <w:basedOn w:val="DefaultParagraphFont"/>
    <w:uiPriority w:val="99"/>
    <w:unhideWhenUsed/>
    <w:rsid w:val="00CC7B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548</Words>
  <Characters>3627</Characters>
  <Application>Microsoft Office Word</Application>
  <DocSecurity>0</DocSecurity>
  <Lines>129</Lines>
  <Paragraphs>90</Paragraphs>
  <ScaleCrop>false</ScaleCrop>
  <Company>Author-it Software Corporation Ltd.</Company>
  <LinksUpToDate>false</LinksUpToDate>
  <CharactersWithSpaces>4085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AMPX216 Operate mincer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2025-03-01T08:39:00Z</dcterms:created>
  <dcterms:modified xsi:type="dcterms:W3CDTF">2025-03-01T08:39:00Z</dcterms:modified>
</cp:coreProperties>
</file>