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7502" w:rsidP="000375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AMPX215 Operate tenderiser</w:t>
      </w:r>
      <w:r>
        <w:fldChar w:fldCharType="end"/>
      </w:r>
    </w:p>
    <w:p w:rsidR="00037502" w:rsidP="00037502">
      <w:pPr>
        <w:pStyle w:val="Version"/>
        <w:sectPr w:rsidSect="00510F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0F29" w:rsidP="00510F29">
      <w:pPr>
        <w:pStyle w:val="SuperHeading"/>
      </w:pPr>
      <w:r w:rsidRPr="00510F29">
        <w:t>AMPX215 Operate tenderiser</w:t>
      </w:r>
    </w:p>
    <w:p w:rsidR="00000000" w:rsidRPr="00510F29" w:rsidP="00510F29">
      <w:pPr>
        <w:pStyle w:val="Heading1"/>
      </w:pPr>
      <w:bookmarkStart w:id="1" w:name="O_897252"/>
      <w:bookmarkEnd w:id="1"/>
      <w:r w:rsidRPr="00510F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29">
            <w:pPr>
              <w:pStyle w:val="TableHeading"/>
              <w:rPr>
                <w:lang w:val="en-NZ"/>
              </w:rPr>
            </w:pPr>
            <w:r w:rsidRPr="00510F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29">
            <w:pPr>
              <w:pStyle w:val="TableHeading"/>
              <w:rPr>
                <w:lang w:val="en-NZ"/>
              </w:rPr>
            </w:pPr>
            <w:r w:rsidRPr="00510F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29">
            <w:pPr>
              <w:pStyle w:val="TableHeading"/>
              <w:rPr>
                <w:lang w:val="en-NZ"/>
              </w:rPr>
            </w:pPr>
            <w:r w:rsidRPr="00510F29">
              <w:t>Comment</w:t>
            </w:r>
          </w:p>
        </w:tc>
      </w:tr>
      <w:tr w:rsidTr="0051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29">
            <w:pPr>
              <w:pStyle w:val="BodyText"/>
              <w:rPr>
                <w:lang w:val="en-NZ"/>
              </w:rPr>
            </w:pPr>
            <w:r w:rsidRPr="00510F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29">
            <w:pPr>
              <w:pStyle w:val="BodyText"/>
              <w:rPr>
                <w:lang w:val="en-NZ"/>
              </w:rPr>
            </w:pPr>
            <w:r w:rsidRPr="00510F2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29" w:rsidP="00510F29">
            <w:pPr>
              <w:pStyle w:val="BodyText"/>
            </w:pPr>
            <w:r w:rsidRPr="00510F29">
              <w:t>Initial release</w:t>
            </w:r>
          </w:p>
        </w:tc>
      </w:tr>
    </w:tbl>
    <w:p w:rsidR="00000000" w:rsidRPr="00510F29" w:rsidP="00510F29">
      <w:pPr>
        <w:pStyle w:val="BodyText"/>
      </w:pPr>
    </w:p>
    <w:p w:rsidR="00000000" w:rsidRPr="00510F29" w:rsidP="00510F29">
      <w:pPr>
        <w:pStyle w:val="AllowPageBreak"/>
      </w:pPr>
    </w:p>
    <w:p w:rsidR="00000000" w:rsidRPr="00510F29" w:rsidP="00510F29">
      <w:pPr>
        <w:pStyle w:val="Heading1"/>
      </w:pPr>
      <w:bookmarkStart w:id="2" w:name="O_897253"/>
      <w:bookmarkEnd w:id="2"/>
      <w:r w:rsidRPr="00510F29">
        <w:t>Application</w:t>
      </w:r>
    </w:p>
    <w:p w:rsidR="00000000" w:rsidRPr="00510F29" w:rsidP="00037502">
      <w:pPr>
        <w:pStyle w:val="BodyText"/>
      </w:pPr>
      <w:r w:rsidRPr="00510F29">
        <w:t>This unit describes the skills and knowledge required to operate and maintain machinery for tenderising meat cuts.</w:t>
      </w:r>
    </w:p>
    <w:p w:rsidR="00000000" w:rsidRPr="00510F29" w:rsidP="00037502">
      <w:pPr>
        <w:pStyle w:val="BodyText"/>
      </w:pPr>
      <w:r w:rsidRPr="00510F29">
        <w:t>This unit is applicable to workers in boning rooms, wholesalers, food service operations and retail outlets.</w:t>
      </w:r>
    </w:p>
    <w:p w:rsidR="00000000" w:rsidRPr="00510F29" w:rsidP="00037502">
      <w:pPr>
        <w:pStyle w:val="BodyText"/>
      </w:pPr>
      <w:r w:rsidRPr="00510F29">
        <w:t>All work should be carried out to comply with workplace and hygiene requirements.</w:t>
      </w:r>
    </w:p>
    <w:p w:rsidR="00000000" w:rsidRPr="00510F29" w:rsidP="00037502">
      <w:pPr>
        <w:pStyle w:val="BodyText"/>
      </w:pPr>
      <w:r w:rsidRPr="00510F29">
        <w:t>This unit applies to individuals who work under general supervi</w:t>
      </w:r>
      <w:r w:rsidRPr="00510F29">
        <w:t>sion, exercise limited autonomy and have some accountability for their own work.</w:t>
      </w:r>
    </w:p>
    <w:p w:rsidR="00000000" w:rsidRPr="00510F29" w:rsidP="00037502">
      <w:pPr>
        <w:pStyle w:val="BodyText"/>
      </w:pPr>
      <w:r w:rsidRPr="00510F29">
        <w:t>No occupational licensing, legislative or certification requirements are known to apply to this unit at the time of publication.</w:t>
      </w:r>
    </w:p>
    <w:p w:rsidR="00000000" w:rsidRPr="00510F29" w:rsidP="00037502">
      <w:pPr>
        <w:pStyle w:val="BodyText"/>
      </w:pPr>
      <w:r w:rsidRPr="00510F29">
        <w:t xml:space="preserve">This unit must be delivered and assessed in </w:t>
      </w:r>
      <w:r w:rsidRPr="00510F29">
        <w:t>the context of Australian meat industry standards and regulations.</w:t>
      </w:r>
    </w:p>
    <w:p w:rsidR="00000000" w:rsidRPr="00510F29" w:rsidP="00510F29">
      <w:pPr>
        <w:pStyle w:val="Heading1"/>
      </w:pPr>
      <w:bookmarkStart w:id="3" w:name="O_897254"/>
      <w:bookmarkEnd w:id="3"/>
      <w:r w:rsidRPr="00510F29">
        <w:t>Pre-requisite Unit</w:t>
      </w:r>
    </w:p>
    <w:p w:rsidR="00000000" w:rsidRPr="00510F29" w:rsidP="00037502">
      <w:pPr>
        <w:pStyle w:val="BodyText"/>
      </w:pPr>
      <w:r w:rsidRPr="00510F29">
        <w:t>Nil.</w:t>
      </w:r>
    </w:p>
    <w:p w:rsidR="00000000" w:rsidRPr="00510F29" w:rsidP="00510F29">
      <w:pPr>
        <w:pStyle w:val="Heading1"/>
      </w:pPr>
      <w:bookmarkStart w:id="4" w:name="O_897256"/>
      <w:bookmarkEnd w:id="4"/>
      <w:r w:rsidRPr="00510F29">
        <w:t>Unit Sector</w:t>
      </w:r>
    </w:p>
    <w:p w:rsidR="00000000" w:rsidRPr="00510F29" w:rsidP="00510F29">
      <w:pPr>
        <w:pStyle w:val="Heading1"/>
      </w:pPr>
      <w:bookmarkStart w:id="5" w:name="O_897257"/>
      <w:bookmarkEnd w:id="5"/>
      <w:r w:rsidRPr="00510F2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375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29">
            <w:pPr>
              <w:pStyle w:val="TableHeading"/>
              <w:rPr>
                <w:lang w:val="en-NZ"/>
              </w:rPr>
            </w:pPr>
            <w:r w:rsidRPr="00510F2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29">
            <w:pPr>
              <w:pStyle w:val="TableHeading"/>
              <w:rPr>
                <w:lang w:val="en-NZ"/>
              </w:rPr>
            </w:pPr>
            <w:r w:rsidRPr="00510F29">
              <w:t>Performance criteria</w:t>
            </w:r>
          </w:p>
        </w:tc>
      </w:tr>
      <w:tr w:rsidTr="000375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29">
            <w:pPr>
              <w:pStyle w:val="BodyText"/>
              <w:rPr>
                <w:lang w:val="en-NZ"/>
              </w:rPr>
            </w:pPr>
            <w:r w:rsidRPr="00510F29">
              <w:t xml:space="preserve">Elements describe the </w:t>
            </w:r>
            <w:r w:rsidRPr="00510F29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29">
            <w:pPr>
              <w:pStyle w:val="BodyText"/>
              <w:rPr>
                <w:lang w:val="en-NZ"/>
              </w:rPr>
            </w:pPr>
            <w:r w:rsidRPr="00510F29">
              <w:t xml:space="preserve">Performance criteria describe the performance needed to </w:t>
            </w:r>
            <w:r w:rsidRPr="00510F29">
              <w:t>demonstrate achievement of the element.</w:t>
            </w:r>
          </w:p>
        </w:tc>
      </w:tr>
      <w:tr w:rsidTr="0003750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29">
            <w:pPr>
              <w:pStyle w:val="List"/>
              <w:rPr>
                <w:lang w:val="en-NZ"/>
              </w:rPr>
            </w:pPr>
            <w:r w:rsidRPr="00510F29">
              <w:t>1.</w:t>
            </w:r>
            <w:r w:rsidRPr="00510F29">
              <w:tab/>
              <w:t>Operate tenderiser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29" w:rsidP="00510F29">
            <w:pPr>
              <w:pStyle w:val="List"/>
            </w:pPr>
            <w:r w:rsidRPr="00510F29">
              <w:t>1.1</w:t>
            </w:r>
            <w:r w:rsidRPr="00510F29">
              <w:tab/>
              <w:t>Operate and maintain tenderiser according to workplace health and safety requirements and m</w:t>
            </w:r>
            <w:r w:rsidRPr="00510F29">
              <w:t>anufacturer</w:t>
            </w:r>
            <w:r>
              <w:t>’</w:t>
            </w:r>
            <w:r w:rsidRPr="00510F29">
              <w:t>s specifications</w:t>
            </w:r>
          </w:p>
          <w:p w:rsidR="00000000" w:rsidRPr="00510F29" w:rsidP="00510F29">
            <w:pPr>
              <w:pStyle w:val="List"/>
            </w:pPr>
            <w:r w:rsidRPr="00510F29">
              <w:t>1.2</w:t>
            </w:r>
            <w:r w:rsidRPr="00510F29">
              <w:tab/>
              <w:t>Tenderise meat to workplace requirements</w:t>
            </w:r>
          </w:p>
          <w:p w:rsidR="00000000" w:rsidRPr="00510F29" w:rsidP="00510F29">
            <w:pPr>
              <w:pStyle w:val="List"/>
            </w:pPr>
            <w:r w:rsidRPr="00510F29">
              <w:t>1.3</w:t>
            </w:r>
            <w:r w:rsidRPr="00510F29">
              <w:tab/>
              <w:t>Identify potential sources of contamination and manage contamination according to workplace requirements</w:t>
            </w:r>
          </w:p>
          <w:p w:rsidR="00000000" w:rsidRPr="00510F29" w:rsidP="00510F29">
            <w:pPr>
              <w:pStyle w:val="List"/>
            </w:pPr>
            <w:r w:rsidRPr="00510F29">
              <w:t>1.4</w:t>
            </w:r>
            <w:r w:rsidRPr="00510F29">
              <w:tab/>
              <w:t xml:space="preserve">Monitor flow of product according to workplace and Quality Assurance </w:t>
            </w:r>
            <w:r w:rsidRPr="00510F29">
              <w:t>(QA) requirements</w:t>
            </w:r>
          </w:p>
        </w:tc>
      </w:tr>
    </w:tbl>
    <w:p w:rsidR="00000000" w:rsidRPr="00510F29" w:rsidP="00510F29">
      <w:pPr>
        <w:pStyle w:val="BodyText"/>
      </w:pPr>
    </w:p>
    <w:p w:rsidR="00000000" w:rsidRPr="00510F29" w:rsidP="00510F29">
      <w:pPr>
        <w:pStyle w:val="AllowPageBreak"/>
      </w:pPr>
    </w:p>
    <w:p w:rsidR="00000000" w:rsidRPr="00510F29" w:rsidP="00510F29">
      <w:pPr>
        <w:pStyle w:val="Heading1"/>
      </w:pPr>
      <w:bookmarkStart w:id="6" w:name="O_897258"/>
      <w:bookmarkEnd w:id="6"/>
      <w:r w:rsidRPr="00510F29">
        <w:t>Foundation Skills</w:t>
      </w:r>
    </w:p>
    <w:p w:rsidR="00000000" w:rsidRPr="00510F29" w:rsidP="00037502">
      <w:pPr>
        <w:pStyle w:val="BodyText"/>
      </w:pPr>
      <w:r w:rsidRPr="00510F29">
        <w:t>Foundation Skills essential to performance are explicit in the performance criteria of this unit of competency.</w:t>
      </w:r>
    </w:p>
    <w:p w:rsidR="00000000" w:rsidRPr="00510F29" w:rsidP="00510F29">
      <w:pPr>
        <w:pStyle w:val="Heading1"/>
      </w:pPr>
      <w:bookmarkStart w:id="7" w:name="O_897259"/>
      <w:bookmarkEnd w:id="7"/>
      <w:r w:rsidRPr="00510F29">
        <w:t>Range of Conditions</w:t>
      </w:r>
    </w:p>
    <w:p w:rsidR="00000000" w:rsidRPr="00510F29" w:rsidP="00510F29">
      <w:pPr>
        <w:pStyle w:val="Heading1"/>
      </w:pPr>
      <w:bookmarkStart w:id="8" w:name="O_897260"/>
      <w:bookmarkEnd w:id="8"/>
      <w:r w:rsidRPr="00510F29">
        <w:t>Unit Mapping Information</w:t>
      </w:r>
    </w:p>
    <w:p w:rsidR="00000000" w:rsidRPr="00510F29" w:rsidP="00037502">
      <w:pPr>
        <w:pStyle w:val="BodyText"/>
      </w:pPr>
      <w:r w:rsidRPr="00510F29">
        <w:t>This unit is equivalent to MTMP2039C Operate tenderiser.</w:t>
      </w:r>
    </w:p>
    <w:p w:rsidR="00000000" w:rsidRPr="00510F29" w:rsidP="00510F29">
      <w:pPr>
        <w:pStyle w:val="Heading1"/>
      </w:pPr>
      <w:bookmarkStart w:id="9" w:name="O_897267"/>
      <w:bookmarkEnd w:id="9"/>
      <w:r w:rsidRPr="00510F29">
        <w:t>Links</w:t>
      </w:r>
    </w:p>
    <w:p w:rsidR="00000000" w:rsidRPr="00510F29" w:rsidP="00037502">
      <w:pPr>
        <w:pStyle w:val="BodyText"/>
      </w:pPr>
      <w:r w:rsidRPr="00510F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E359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10F29" w:rsidP="00037502">
      <w:pPr>
        <w:pStyle w:val="BodyText"/>
        <w:sectPr w:rsidSect="00510F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0F29" w:rsidP="00510F29">
      <w:pPr>
        <w:pStyle w:val="SuperHeading"/>
      </w:pPr>
      <w:r w:rsidRPr="00510F29">
        <w:t>Assessment Requirements for AMPX215 Operate tenderiser</w:t>
      </w:r>
    </w:p>
    <w:p w:rsidR="00000000" w:rsidRPr="00510F29" w:rsidP="00510F29">
      <w:pPr>
        <w:pStyle w:val="Heading1"/>
      </w:pPr>
      <w:bookmarkStart w:id="10" w:name="O_897262"/>
      <w:bookmarkEnd w:id="10"/>
      <w:r w:rsidRPr="00510F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1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29">
            <w:pPr>
              <w:pStyle w:val="TableHeading"/>
              <w:rPr>
                <w:lang w:val="en-NZ"/>
              </w:rPr>
            </w:pPr>
            <w:r w:rsidRPr="00510F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29">
            <w:pPr>
              <w:pStyle w:val="TableHeading"/>
              <w:rPr>
                <w:lang w:val="en-NZ"/>
              </w:rPr>
            </w:pPr>
            <w:r w:rsidRPr="00510F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29">
            <w:pPr>
              <w:pStyle w:val="TableHeading"/>
              <w:rPr>
                <w:lang w:val="en-NZ"/>
              </w:rPr>
            </w:pPr>
            <w:r w:rsidRPr="00510F29">
              <w:t>Comment</w:t>
            </w:r>
          </w:p>
        </w:tc>
      </w:tr>
      <w:tr w:rsidTr="00510F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29">
            <w:pPr>
              <w:pStyle w:val="BodyText"/>
              <w:rPr>
                <w:lang w:val="en-NZ"/>
              </w:rPr>
            </w:pPr>
            <w:r w:rsidRPr="00510F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0F29">
            <w:pPr>
              <w:pStyle w:val="BodyText"/>
              <w:rPr>
                <w:lang w:val="en-NZ"/>
              </w:rPr>
            </w:pPr>
            <w:r w:rsidRPr="00510F2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0F29" w:rsidP="00510F29">
            <w:pPr>
              <w:pStyle w:val="BodyText"/>
            </w:pPr>
            <w:r w:rsidRPr="00510F29">
              <w:t>Initial release</w:t>
            </w:r>
          </w:p>
        </w:tc>
      </w:tr>
    </w:tbl>
    <w:p w:rsidR="00000000" w:rsidRPr="00510F29" w:rsidP="00510F29">
      <w:pPr>
        <w:pStyle w:val="BodyText"/>
      </w:pPr>
    </w:p>
    <w:p w:rsidR="00000000" w:rsidRPr="00510F29" w:rsidP="00510F29">
      <w:pPr>
        <w:pStyle w:val="AllowPageBreak"/>
      </w:pPr>
    </w:p>
    <w:p w:rsidR="00000000" w:rsidRPr="00510F29" w:rsidP="00510F29">
      <w:pPr>
        <w:pStyle w:val="Heading1"/>
      </w:pPr>
      <w:bookmarkStart w:id="11" w:name="O_897263"/>
      <w:bookmarkEnd w:id="11"/>
      <w:r w:rsidRPr="00510F29">
        <w:t>Performance Evidence</w:t>
      </w:r>
    </w:p>
    <w:p w:rsidR="00000000" w:rsidRPr="00510F29" w:rsidP="00037502">
      <w:pPr>
        <w:pStyle w:val="BodyText"/>
      </w:pPr>
      <w:r w:rsidRPr="00510F29">
        <w:t>The candidate must operate and maintain machinery for tenderising meat cuts.</w:t>
      </w:r>
    </w:p>
    <w:p w:rsidR="00000000" w:rsidRPr="00510F29" w:rsidP="00037502">
      <w:pPr>
        <w:pStyle w:val="BodyText"/>
      </w:pPr>
      <w:r w:rsidRPr="00510F29">
        <w:t xml:space="preserve">The candidate must: </w:t>
      </w:r>
    </w:p>
    <w:p w:rsidR="00000000" w:rsidRPr="00510F29" w:rsidP="00510F29">
      <w:pPr>
        <w:pStyle w:val="ListBullet"/>
      </w:pPr>
      <w:r w:rsidRPr="00510F29">
        <w:t>follow the requirements of the work instruction</w:t>
      </w:r>
    </w:p>
    <w:p w:rsidR="00000000" w:rsidRPr="00510F29" w:rsidP="00510F29">
      <w:pPr>
        <w:pStyle w:val="ListBullet"/>
      </w:pPr>
      <w:r w:rsidRPr="00510F29">
        <w:t>work at production speed</w:t>
      </w:r>
    </w:p>
    <w:p w:rsidR="00000000" w:rsidRPr="00510F29" w:rsidP="00510F29">
      <w:pPr>
        <w:pStyle w:val="ListBullet"/>
      </w:pPr>
      <w:r w:rsidRPr="00510F29">
        <w:t>operate tenderiser in accordance with workplace requirements and manufacturer</w:t>
      </w:r>
      <w:r>
        <w:t>’</w:t>
      </w:r>
      <w:r w:rsidRPr="00510F29">
        <w:t>s spe</w:t>
      </w:r>
      <w:r w:rsidRPr="00510F29">
        <w:t>cifications</w:t>
      </w:r>
    </w:p>
    <w:p w:rsidR="00000000" w:rsidRPr="00510F29" w:rsidP="00510F29">
      <w:pPr>
        <w:pStyle w:val="ListBullet"/>
      </w:pPr>
      <w:r w:rsidRPr="00510F29">
        <w:t>monitor meat input and output in accordance with work instructions</w:t>
      </w:r>
    </w:p>
    <w:p w:rsidR="00000000" w:rsidRPr="00510F29" w:rsidP="00510F29">
      <w:pPr>
        <w:pStyle w:val="ListBullet"/>
      </w:pPr>
      <w:r w:rsidRPr="00510F29">
        <w:t>carry out routine cleaning and maintenance in accordance with work instructions, manufacturer</w:t>
      </w:r>
      <w:r>
        <w:t>’</w:t>
      </w:r>
      <w:r w:rsidRPr="00510F29">
        <w:t>s specifications and hygiene and sanitation requirements</w:t>
      </w:r>
    </w:p>
    <w:p w:rsidR="00000000" w:rsidRPr="00510F29" w:rsidP="00510F29">
      <w:pPr>
        <w:pStyle w:val="ListBullet"/>
      </w:pPr>
      <w:r w:rsidRPr="00510F29">
        <w:t xml:space="preserve">apply relevant regulatory </w:t>
      </w:r>
      <w:r w:rsidRPr="00510F29">
        <w:t>requirements</w:t>
      </w:r>
    </w:p>
    <w:p w:rsidR="00000000" w:rsidRPr="00510F29" w:rsidP="00510F29">
      <w:pPr>
        <w:pStyle w:val="AllowPageBreak"/>
      </w:pPr>
    </w:p>
    <w:p w:rsidR="00000000" w:rsidRPr="00510F29" w:rsidP="00510F29">
      <w:pPr>
        <w:pStyle w:val="Heading1"/>
      </w:pPr>
      <w:bookmarkStart w:id="12" w:name="O_897264"/>
      <w:bookmarkEnd w:id="12"/>
      <w:r w:rsidRPr="00510F29">
        <w:t>Knowledge Evidence</w:t>
      </w:r>
    </w:p>
    <w:p w:rsidR="00000000" w:rsidRPr="00510F29" w:rsidP="00037502">
      <w:pPr>
        <w:pStyle w:val="BodyText"/>
      </w:pPr>
      <w:r w:rsidRPr="00510F29">
        <w:t>The candidate must demonstrate a basic factual, technical and procedural knowledge of:</w:t>
      </w:r>
    </w:p>
    <w:p w:rsidR="00000000" w:rsidRPr="00510F29" w:rsidP="00510F29">
      <w:pPr>
        <w:pStyle w:val="ListBullet"/>
      </w:pPr>
      <w:r w:rsidRPr="00510F29">
        <w:t>basic operating principles of meat tenderisers</w:t>
      </w:r>
    </w:p>
    <w:p w:rsidR="00000000" w:rsidRPr="00510F29" w:rsidP="00510F29">
      <w:pPr>
        <w:pStyle w:val="ListBullet"/>
      </w:pPr>
      <w:r w:rsidRPr="00510F29">
        <w:t>workplace health and safety requirements related to meat tenderising</w:t>
      </w:r>
    </w:p>
    <w:p w:rsidR="00000000" w:rsidRPr="00510F29" w:rsidP="00510F29">
      <w:pPr>
        <w:pStyle w:val="ListBullet"/>
      </w:pPr>
      <w:r w:rsidRPr="00510F29">
        <w:t>wor</w:t>
      </w:r>
      <w:r w:rsidRPr="00510F29">
        <w:t>k instructions for operating tenderiser</w:t>
      </w:r>
    </w:p>
    <w:p w:rsidR="00000000" w:rsidRPr="00510F29" w:rsidP="00510F29">
      <w:pPr>
        <w:pStyle w:val="ListBullet"/>
      </w:pPr>
      <w:r w:rsidRPr="00510F29">
        <w:t>relevant regulatory requirements</w:t>
      </w:r>
    </w:p>
    <w:p w:rsidR="00000000" w:rsidRPr="00510F29" w:rsidP="00510F29">
      <w:pPr>
        <w:pStyle w:val="ListBullet"/>
      </w:pPr>
      <w:r w:rsidRPr="00510F29">
        <w:t>potential sources of contamination to the product</w:t>
      </w:r>
    </w:p>
    <w:p w:rsidR="00000000" w:rsidRPr="00510F29" w:rsidP="00510F29">
      <w:pPr>
        <w:pStyle w:val="AllowPageBreak"/>
      </w:pPr>
    </w:p>
    <w:p w:rsidR="00000000" w:rsidRPr="00510F29" w:rsidP="00510F29">
      <w:pPr>
        <w:pStyle w:val="Heading1"/>
      </w:pPr>
      <w:bookmarkStart w:id="13" w:name="O_897265"/>
      <w:bookmarkEnd w:id="13"/>
      <w:r w:rsidRPr="00510F29">
        <w:t>Assessment Conditions</w:t>
      </w:r>
    </w:p>
    <w:p w:rsidR="00000000" w:rsidRPr="00510F29" w:rsidP="00037502">
      <w:pPr>
        <w:pStyle w:val="BodyText"/>
      </w:pPr>
      <w:r w:rsidRPr="00510F29">
        <w:t>Assessment must be conducted using meat prepared to a specification.</w:t>
      </w:r>
    </w:p>
    <w:p w:rsidR="00000000" w:rsidRPr="00510F29" w:rsidP="00037502">
      <w:pPr>
        <w:pStyle w:val="BodyText"/>
      </w:pPr>
      <w:r w:rsidRPr="00510F29">
        <w:t>Competency must be demonstrated over a period of time and at a relevant rate of production.</w:t>
      </w:r>
    </w:p>
    <w:p w:rsidR="00000000" w:rsidRPr="00510F29" w:rsidP="00037502">
      <w:pPr>
        <w:pStyle w:val="BodyText"/>
      </w:pPr>
      <w:r w:rsidRPr="00510F29">
        <w:t xml:space="preserve">As a minimum, the following three forms of assessment must be used: </w:t>
      </w:r>
    </w:p>
    <w:p w:rsidR="00000000" w:rsidRPr="00510F29" w:rsidP="00510F29">
      <w:pPr>
        <w:pStyle w:val="ListBullet"/>
      </w:pPr>
      <w:r w:rsidRPr="00510F29">
        <w:t>quiz of underpinning knowledge</w:t>
      </w:r>
    </w:p>
    <w:p w:rsidR="00000000" w:rsidRPr="00510F29" w:rsidP="00510F29">
      <w:pPr>
        <w:pStyle w:val="ListBullet"/>
      </w:pPr>
      <w:r w:rsidRPr="00510F29">
        <w:t xml:space="preserve">workplace demonstration </w:t>
      </w:r>
    </w:p>
    <w:p w:rsidR="00000000" w:rsidRPr="00510F29" w:rsidP="00510F29">
      <w:pPr>
        <w:pStyle w:val="ListBullet"/>
      </w:pPr>
      <w:r w:rsidRPr="00510F29">
        <w:t>workplace referee or third-party repo</w:t>
      </w:r>
      <w:r w:rsidRPr="00510F29">
        <w:t>rt of performance over time</w:t>
      </w:r>
    </w:p>
    <w:p w:rsidR="00000000" w:rsidRPr="00510F29" w:rsidP="00510F29">
      <w:pPr>
        <w:pStyle w:val="BodyText"/>
      </w:pPr>
    </w:p>
    <w:p w:rsidR="00000000" w:rsidRPr="00510F29" w:rsidP="00037502">
      <w:pPr>
        <w:pStyle w:val="BodyText"/>
      </w:pPr>
      <w:r w:rsidRPr="00510F29">
        <w:t>Assessors must satisfy the current standards for RTOs.</w:t>
      </w:r>
    </w:p>
    <w:p w:rsidR="00000000" w:rsidRPr="00510F29" w:rsidP="00510F29">
      <w:pPr>
        <w:pStyle w:val="Heading1"/>
      </w:pPr>
      <w:bookmarkStart w:id="14" w:name="O_897268"/>
      <w:bookmarkEnd w:id="14"/>
      <w:r w:rsidRPr="00510F29">
        <w:t>Links</w:t>
      </w:r>
    </w:p>
    <w:p w:rsidR="00000000" w:rsidRPr="00510F29" w:rsidP="00037502">
      <w:pPr>
        <w:pStyle w:val="BodyText"/>
      </w:pPr>
      <w:r w:rsidRPr="00510F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E359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10F29" w:rsidP="00510F29"/>
    <w:sectPr w:rsidSect="00510F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F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F29" w:rsidRPr="00037502" w:rsidP="000375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F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502" w:rsidP="00510F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7502" w:rsidP="00510F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37502" w:rsidP="00510F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F29" w:rsidP="00510F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7502">
      <w:t>Approved</w:t>
    </w:r>
    <w:r w:rsidR="000375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75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7502">
      <w:rPr>
        <w:noProof/>
      </w:rPr>
      <w:t>4</w:t>
    </w:r>
    <w:r>
      <w:rPr>
        <w:noProof/>
      </w:rPr>
      <w:fldChar w:fldCharType="end"/>
    </w:r>
  </w:p>
  <w:p w:rsidR="00510F29" w:rsidP="00510F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75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7502">
      <w:t>Skills Insight</w:t>
    </w:r>
    <w:r w:rsidR="00037502">
      <w:fldChar w:fldCharType="end"/>
    </w:r>
  </w:p>
  <w:p w:rsidR="00510F29" w:rsidP="00510F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F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5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0F29" w:rsidRPr="00037502" w:rsidP="000375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F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502" w:rsidRPr="002D2AF8" w:rsidP="00510F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AMPX215 Operate tenderiser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7502" w:rsidP="00510F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F29" w:rsidRPr="002D2AF8" w:rsidP="00510F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7502">
      <w:t>AMPX215 Operate tenderiser</w:t>
    </w:r>
    <w:r w:rsidR="000375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7502">
      <w:rPr>
        <w:noProof/>
      </w:rPr>
      <w:t>2 March 2025</w:t>
    </w:r>
    <w:r>
      <w:fldChar w:fldCharType="end"/>
    </w:r>
  </w:p>
  <w:p w:rsidR="00510F29" w:rsidP="00510F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6C8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9082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0F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0F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0F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0F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0F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0F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0F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0F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0F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0F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0F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0F29"/>
  </w:style>
  <w:style w:type="character" w:customStyle="1" w:styleId="Heading1Char">
    <w:name w:val="Heading 1 Char"/>
    <w:basedOn w:val="DefaultParagraphFont"/>
    <w:link w:val="Heading1"/>
    <w:rsid w:val="00510F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0F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0F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10F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0F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10F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10F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10F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0F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0F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0F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0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0F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0F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0F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0F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0F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0F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0F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0F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0F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0F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0F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0F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0F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0F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10F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0F29"/>
    <w:rPr>
      <w:b/>
      <w:spacing w:val="0"/>
    </w:rPr>
  </w:style>
  <w:style w:type="paragraph" w:customStyle="1" w:styleId="SuperTitle">
    <w:name w:val="SuperTitle"/>
    <w:basedOn w:val="Title"/>
    <w:rsid w:val="00510F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0F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0F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0F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0F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0F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0F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0F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0F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0F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0F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0F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0F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0F29"/>
    <w:rPr>
      <w:i/>
    </w:rPr>
  </w:style>
  <w:style w:type="paragraph" w:styleId="Caption">
    <w:name w:val="caption"/>
    <w:basedOn w:val="BodyText"/>
    <w:next w:val="Normal"/>
    <w:qFormat/>
    <w:rsid w:val="00510F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0F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0F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0F29"/>
  </w:style>
  <w:style w:type="paragraph" w:styleId="TableofFigures">
    <w:name w:val="table of figures"/>
    <w:basedOn w:val="Normal"/>
    <w:next w:val="Normal"/>
    <w:semiHidden/>
    <w:rsid w:val="00510F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0F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10F29"/>
    <w:rPr>
      <w:rFonts w:ascii="Wingdings" w:hAnsi="Wingdings"/>
    </w:rPr>
  </w:style>
  <w:style w:type="character" w:customStyle="1" w:styleId="HotSpot">
    <w:name w:val="HotSpot"/>
    <w:rsid w:val="00510F29"/>
    <w:rPr>
      <w:color w:val="0033CC"/>
      <w:u w:val="none"/>
    </w:rPr>
  </w:style>
  <w:style w:type="paragraph" w:customStyle="1" w:styleId="BodyTextRight">
    <w:name w:val="Body Text Right"/>
    <w:basedOn w:val="BodyText"/>
    <w:rsid w:val="00510F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0F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0F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0F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0F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0F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0F29"/>
    <w:rPr>
      <w:sz w:val="32"/>
    </w:rPr>
  </w:style>
  <w:style w:type="paragraph" w:customStyle="1" w:styleId="HeadingProcedure">
    <w:name w:val="Heading Procedure"/>
    <w:basedOn w:val="HeadingBase"/>
    <w:next w:val="Normal"/>
    <w:rsid w:val="00510F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0F29"/>
    <w:pPr>
      <w:spacing w:before="60" w:after="60"/>
    </w:pPr>
  </w:style>
  <w:style w:type="paragraph" w:styleId="ListContinue">
    <w:name w:val="List Continue"/>
    <w:basedOn w:val="List"/>
    <w:rsid w:val="00510F29"/>
    <w:pPr>
      <w:ind w:firstLine="0"/>
    </w:pPr>
  </w:style>
  <w:style w:type="paragraph" w:customStyle="1" w:styleId="ListNote">
    <w:name w:val="List Note"/>
    <w:basedOn w:val="List"/>
    <w:rsid w:val="00510F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0F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0F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0F29"/>
    <w:rPr>
      <w:rFonts w:ascii="Courier New" w:hAnsi="Courier New"/>
    </w:rPr>
  </w:style>
  <w:style w:type="paragraph" w:customStyle="1" w:styleId="NoteBullet">
    <w:name w:val="Note Bullet"/>
    <w:basedOn w:val="Note"/>
    <w:rsid w:val="00510F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0F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0F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0F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0F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0F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0F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0F29"/>
    <w:rPr>
      <w:b/>
      <w:smallCaps/>
    </w:rPr>
  </w:style>
  <w:style w:type="paragraph" w:customStyle="1" w:styleId="TableListNumber">
    <w:name w:val="Table List Number"/>
    <w:basedOn w:val="ListNumber"/>
    <w:rsid w:val="00510F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0F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0F29"/>
    <w:pPr>
      <w:numPr>
        <w:numId w:val="8"/>
      </w:numPr>
    </w:pPr>
  </w:style>
  <w:style w:type="paragraph" w:customStyle="1" w:styleId="ListAlpha2">
    <w:name w:val="List Alpha 2"/>
    <w:basedOn w:val="List2"/>
    <w:rsid w:val="00510F29"/>
    <w:pPr>
      <w:numPr>
        <w:numId w:val="7"/>
      </w:numPr>
    </w:pPr>
  </w:style>
  <w:style w:type="paragraph" w:styleId="List2">
    <w:name w:val="List 2"/>
    <w:basedOn w:val="BodyText"/>
    <w:rsid w:val="00510F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0F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0F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0F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0F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0F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10F29"/>
    <w:pPr>
      <w:numPr>
        <w:numId w:val="3"/>
      </w:numPr>
    </w:pPr>
  </w:style>
  <w:style w:type="paragraph" w:styleId="ListContinue2">
    <w:name w:val="List Continue 2"/>
    <w:basedOn w:val="List2"/>
    <w:rsid w:val="00510F29"/>
    <w:pPr>
      <w:ind w:firstLine="0"/>
    </w:pPr>
  </w:style>
  <w:style w:type="paragraph" w:styleId="ListContinue3">
    <w:name w:val="List Continue 3"/>
    <w:basedOn w:val="List3"/>
    <w:rsid w:val="00510F29"/>
    <w:pPr>
      <w:ind w:left="1021" w:firstLine="0"/>
    </w:pPr>
  </w:style>
  <w:style w:type="paragraph" w:styleId="ListContinue4">
    <w:name w:val="List Continue 4"/>
    <w:basedOn w:val="List4"/>
    <w:rsid w:val="00510F29"/>
    <w:pPr>
      <w:ind w:firstLine="0"/>
    </w:pPr>
  </w:style>
  <w:style w:type="paragraph" w:styleId="ListContinue5">
    <w:name w:val="List Continue 5"/>
    <w:basedOn w:val="List5"/>
    <w:rsid w:val="00510F29"/>
    <w:pPr>
      <w:ind w:firstLine="0"/>
    </w:pPr>
  </w:style>
  <w:style w:type="paragraph" w:styleId="ListNumber3">
    <w:name w:val="List Number 3"/>
    <w:basedOn w:val="List3"/>
    <w:rsid w:val="00510F29"/>
    <w:pPr>
      <w:numPr>
        <w:numId w:val="4"/>
      </w:numPr>
    </w:pPr>
  </w:style>
  <w:style w:type="paragraph" w:styleId="ListNumber4">
    <w:name w:val="List Number 4"/>
    <w:basedOn w:val="List4"/>
    <w:rsid w:val="00510F29"/>
    <w:pPr>
      <w:numPr>
        <w:numId w:val="5"/>
      </w:numPr>
    </w:pPr>
  </w:style>
  <w:style w:type="paragraph" w:styleId="ListNumber5">
    <w:name w:val="List Number 5"/>
    <w:basedOn w:val="List5"/>
    <w:rsid w:val="00510F29"/>
    <w:pPr>
      <w:numPr>
        <w:numId w:val="6"/>
      </w:numPr>
    </w:pPr>
  </w:style>
  <w:style w:type="paragraph" w:styleId="BlockText">
    <w:name w:val="Block Text"/>
    <w:basedOn w:val="Normal"/>
    <w:rsid w:val="00510F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0F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0F29"/>
    <w:rPr>
      <w:sz w:val="16"/>
      <w:vertAlign w:val="superscript"/>
    </w:rPr>
  </w:style>
  <w:style w:type="character" w:customStyle="1" w:styleId="Symbols">
    <w:name w:val="Symbols"/>
    <w:basedOn w:val="DefaultParagraphFont"/>
    <w:rsid w:val="00510F29"/>
    <w:rPr>
      <w:rFonts w:ascii="Symbol" w:hAnsi="Symbol"/>
    </w:rPr>
  </w:style>
  <w:style w:type="character" w:customStyle="1" w:styleId="MenuOptions">
    <w:name w:val="Menu Options"/>
    <w:basedOn w:val="DefaultParagraphFont"/>
    <w:rsid w:val="00510F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0F29"/>
    <w:rPr>
      <w:b/>
    </w:rPr>
  </w:style>
  <w:style w:type="character" w:customStyle="1" w:styleId="Underlined">
    <w:name w:val="Underlined"/>
    <w:basedOn w:val="DefaultParagraphFont"/>
    <w:rsid w:val="00510F29"/>
    <w:rPr>
      <w:u w:val="single"/>
    </w:rPr>
  </w:style>
  <w:style w:type="paragraph" w:customStyle="1" w:styleId="TableBodyTextRight">
    <w:name w:val="Table Body Text Right"/>
    <w:basedOn w:val="TableBodyText"/>
    <w:rsid w:val="00510F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0F29"/>
    <w:rPr>
      <w:sz w:val="18"/>
    </w:rPr>
  </w:style>
  <w:style w:type="paragraph" w:customStyle="1" w:styleId="BodySmallRight">
    <w:name w:val="Body Small Right"/>
    <w:basedOn w:val="BodyTextRight"/>
    <w:rsid w:val="00510F29"/>
    <w:rPr>
      <w:sz w:val="18"/>
      <w:szCs w:val="18"/>
    </w:rPr>
  </w:style>
  <w:style w:type="paragraph" w:customStyle="1" w:styleId="MarginEdition">
    <w:name w:val="Margin Edition"/>
    <w:basedOn w:val="MarginNote"/>
    <w:rsid w:val="00510F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0F29"/>
    <w:rPr>
      <w:sz w:val="2"/>
      <w:szCs w:val="2"/>
    </w:rPr>
  </w:style>
  <w:style w:type="character" w:customStyle="1" w:styleId="Small">
    <w:name w:val="Small"/>
    <w:basedOn w:val="DefaultParagraphFont"/>
    <w:rsid w:val="00510F29"/>
    <w:rPr>
      <w:sz w:val="16"/>
    </w:rPr>
  </w:style>
  <w:style w:type="paragraph" w:customStyle="1" w:styleId="WideTable">
    <w:name w:val="Wide Table"/>
    <w:basedOn w:val="Normal"/>
    <w:rsid w:val="00510F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0F29"/>
  </w:style>
  <w:style w:type="paragraph" w:styleId="Quote">
    <w:name w:val="Quote"/>
    <w:basedOn w:val="Heading1"/>
    <w:link w:val="QuoteChar"/>
    <w:qFormat/>
    <w:rsid w:val="00510F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0F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0F29"/>
    <w:pPr>
      <w:pageBreakBefore/>
    </w:pPr>
  </w:style>
  <w:style w:type="paragraph" w:customStyle="1" w:styleId="Border">
    <w:name w:val="Border"/>
    <w:basedOn w:val="Normal"/>
    <w:qFormat/>
    <w:rsid w:val="00510F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0F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0F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0F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0F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0F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0F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0F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0F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0F29"/>
    <w:rPr>
      <w:u w:val="single"/>
    </w:rPr>
  </w:style>
  <w:style w:type="character" w:customStyle="1" w:styleId="BoldandItalics">
    <w:name w:val="Bold and Italics"/>
    <w:qFormat/>
    <w:rsid w:val="00510F29"/>
    <w:rPr>
      <w:b/>
      <w:i/>
      <w:u w:val="none"/>
    </w:rPr>
  </w:style>
  <w:style w:type="paragraph" w:styleId="BalloonText">
    <w:name w:val="Balloon Text"/>
    <w:basedOn w:val="Normal"/>
    <w:link w:val="BalloonTextChar"/>
    <w:rsid w:val="00510F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0F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0F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0F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0F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0F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0F29"/>
    <w:pPr>
      <w:spacing w:before="0" w:after="0"/>
    </w:pPr>
  </w:style>
  <w:style w:type="paragraph" w:customStyle="1" w:styleId="BodyTextBold">
    <w:name w:val="Body Text Bold"/>
    <w:basedOn w:val="BodyText"/>
    <w:qFormat/>
    <w:rsid w:val="00510F29"/>
    <w:rPr>
      <w:b/>
    </w:rPr>
  </w:style>
  <w:style w:type="character" w:styleId="Hyperlink">
    <w:name w:val="Hyperlink"/>
    <w:basedOn w:val="DefaultParagraphFont"/>
    <w:uiPriority w:val="99"/>
    <w:unhideWhenUsed/>
    <w:rsid w:val="000375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3261</Characters>
  <Application>Microsoft Office Word</Application>
  <DocSecurity>0</DocSecurity>
  <Lines>120</Lines>
  <Paragraphs>87</Paragraphs>
  <ScaleCrop>false</ScaleCrop>
  <Company>Author-it Software Corporation Ltd.</Company>
  <LinksUpToDate>false</LinksUpToDate>
  <CharactersWithSpaces>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AMPX215 Operate tenderiser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2025-03-01T18:24:00Z</dcterms:created>
  <dcterms:modified xsi:type="dcterms:W3CDTF">2025-03-01T18:24:00Z</dcterms:modified>
</cp:coreProperties>
</file>