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30A" w:rsidP="00F15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AMPREN306 Render edible products</w:t>
      </w:r>
      <w:r>
        <w:fldChar w:fldCharType="end"/>
      </w:r>
    </w:p>
    <w:p w:rsidR="00F1530A" w:rsidP="00F1530A">
      <w:pPr>
        <w:pStyle w:val="Version"/>
        <w:sectPr w:rsidSect="00F81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2CC" w:rsidP="00F812CC">
      <w:pPr>
        <w:pStyle w:val="SuperHeading"/>
      </w:pPr>
      <w:r w:rsidRPr="00F812CC">
        <w:t>AMPREN306 Render edible products</w:t>
      </w:r>
    </w:p>
    <w:p w:rsidR="00000000" w:rsidRPr="00F812CC" w:rsidP="00F812CC">
      <w:pPr>
        <w:pStyle w:val="Heading1"/>
      </w:pPr>
      <w:bookmarkStart w:id="1" w:name="O_1202593"/>
      <w:bookmarkEnd w:id="1"/>
      <w:r w:rsidRPr="00F812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Comments</w:t>
            </w:r>
          </w:p>
        </w:tc>
      </w:tr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This version released with AMP Australian Meat Processing Training Package Version 7.0.</w:t>
            </w:r>
          </w:p>
        </w:tc>
      </w:tr>
    </w:tbl>
    <w:p w:rsidR="00000000" w:rsidRPr="00F812CC" w:rsidP="00F812CC">
      <w:pPr>
        <w:pStyle w:val="BodyText"/>
      </w:pPr>
    </w:p>
    <w:p w:rsidR="00000000" w:rsidRPr="00F812CC" w:rsidP="00F812CC">
      <w:pPr>
        <w:pStyle w:val="AllowPageBreak"/>
      </w:pPr>
    </w:p>
    <w:p w:rsidR="00000000" w:rsidRPr="00F812CC" w:rsidP="00F812CC">
      <w:pPr>
        <w:pStyle w:val="Heading1"/>
      </w:pPr>
      <w:bookmarkStart w:id="2" w:name="O_1202594"/>
      <w:bookmarkEnd w:id="2"/>
      <w:r w:rsidRPr="00F812CC">
        <w:t>Application</w:t>
      </w:r>
    </w:p>
    <w:p w:rsidR="00000000" w:rsidRPr="00F812CC" w:rsidP="00F1530A">
      <w:pPr>
        <w:pStyle w:val="BodyText"/>
      </w:pPr>
      <w:r w:rsidRPr="00F812CC">
        <w:t>This unit of competency describes the skills and knowledge required to operate renderi</w:t>
      </w:r>
      <w:r w:rsidRPr="00F812CC">
        <w:t xml:space="preserve">ng equipment and produce an edible product, including preparation, loading raw material, operation, monitoring and shut down of the rendering processes. </w:t>
      </w:r>
    </w:p>
    <w:p w:rsidR="00000000" w:rsidRPr="00F812CC" w:rsidP="00F1530A">
      <w:pPr>
        <w:pStyle w:val="BodyText"/>
      </w:pPr>
      <w:r w:rsidRPr="00F812CC">
        <w:t>This unit applies to individuals who work under broad direction in an industrial rendering plant and w</w:t>
      </w:r>
      <w:r w:rsidRPr="00F812CC">
        <w:t>ho are responsible for operating and monitoring a rendering process. It includes safety compliance using Hazard Analysis and Critical Control Point (HACCP) techniques, process and product quality requirements, and solving problems that arise with the proce</w:t>
      </w:r>
      <w:r w:rsidRPr="00F812CC">
        <w:t xml:space="preserve">ss. </w:t>
      </w:r>
    </w:p>
    <w:p w:rsidR="00000000" w:rsidRPr="00F812CC" w:rsidP="00F1530A">
      <w:pPr>
        <w:pStyle w:val="BodyText"/>
      </w:pPr>
      <w:r w:rsidRPr="00F812CC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F812CC" w:rsidP="00F1530A">
      <w:pPr>
        <w:pStyle w:val="BodyText"/>
      </w:pPr>
      <w:r w:rsidRPr="00F812CC">
        <w:t>No licensing, legislative or certif</w:t>
      </w:r>
      <w:r w:rsidRPr="00F812CC">
        <w:t>ication requirements apply to this unit at the time of publication.</w:t>
      </w:r>
    </w:p>
    <w:p w:rsidR="00000000" w:rsidRPr="00F812CC" w:rsidP="00F812CC">
      <w:pPr>
        <w:pStyle w:val="Heading1"/>
      </w:pPr>
      <w:bookmarkStart w:id="3" w:name="O_1202595"/>
      <w:bookmarkEnd w:id="3"/>
      <w:r w:rsidRPr="00F812CC">
        <w:t>Pre-requisite Unit</w:t>
      </w:r>
    </w:p>
    <w:p w:rsidR="00000000" w:rsidRPr="00F812CC" w:rsidP="00F1530A">
      <w:pPr>
        <w:pStyle w:val="BodyText"/>
      </w:pPr>
      <w:r w:rsidRPr="00F812CC">
        <w:t>Nil</w:t>
      </w:r>
    </w:p>
    <w:p w:rsidR="00000000" w:rsidRPr="00F812CC" w:rsidP="00F812CC">
      <w:pPr>
        <w:pStyle w:val="Heading1"/>
      </w:pPr>
      <w:bookmarkStart w:id="4" w:name="O_1202597"/>
      <w:bookmarkEnd w:id="4"/>
      <w:r w:rsidRPr="00F812CC">
        <w:t>Unit Sector</w:t>
      </w:r>
    </w:p>
    <w:p w:rsidR="00000000" w:rsidRPr="00F812CC" w:rsidP="00F1530A">
      <w:pPr>
        <w:pStyle w:val="BodyText"/>
      </w:pPr>
      <w:r w:rsidRPr="00F812CC">
        <w:t>Rendering (REN)</w:t>
      </w:r>
    </w:p>
    <w:p w:rsidR="00000000" w:rsidRPr="00F812CC" w:rsidP="00F812CC">
      <w:pPr>
        <w:pStyle w:val="Heading1"/>
      </w:pPr>
      <w:bookmarkStart w:id="5" w:name="O_1202598"/>
      <w:bookmarkEnd w:id="5"/>
      <w:r w:rsidRPr="00F812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Performance Criteria</w:t>
            </w:r>
          </w:p>
        </w:tc>
      </w:tr>
      <w:tr w:rsidTr="00F15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1. Prepare for operation of rendering process</w:t>
            </w:r>
          </w:p>
          <w:p w:rsidR="00000000" w:rsidRPr="00F812CC" w:rsidP="00F812C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1.1 Check work order, operational status of services and availability</w:t>
            </w:r>
            <w:r w:rsidRPr="00F812CC">
              <w:t xml:space="preserve"> of consumables </w:t>
            </w:r>
          </w:p>
          <w:p w:rsidR="00000000" w:rsidRPr="00F812CC" w:rsidP="00F812CC">
            <w:pPr>
              <w:pStyle w:val="BodyText"/>
            </w:pPr>
            <w:r w:rsidRPr="00F812CC">
              <w:t xml:space="preserve">1.2 Identify hazards, assess and control risks according to workplace health and safety procedures </w:t>
            </w:r>
          </w:p>
          <w:p w:rsidR="00000000" w:rsidRPr="00F812CC" w:rsidP="00F812CC">
            <w:pPr>
              <w:pStyle w:val="BodyText"/>
            </w:pPr>
            <w:r w:rsidRPr="00F812CC">
              <w:t>1.3 Identify food safety hazards, assess and control risks according to HACCP principles</w:t>
            </w:r>
          </w:p>
          <w:p w:rsidR="00000000" w:rsidRPr="00F812CC" w:rsidP="00F812CC">
            <w:pPr>
              <w:pStyle w:val="BodyText"/>
            </w:pPr>
            <w:r w:rsidRPr="00F812CC">
              <w:t>1</w:t>
            </w:r>
            <w:r w:rsidRPr="00F812CC">
              <w:t xml:space="preserve">.4 Select and fit personal protective equipment and contamination control equipment </w:t>
            </w:r>
          </w:p>
          <w:p w:rsidR="00000000" w:rsidRPr="00F812CC" w:rsidP="00F812CC">
            <w:pPr>
              <w:pStyle w:val="BodyText"/>
            </w:pPr>
            <w:r w:rsidRPr="00F812CC">
              <w:t>1.5 Undertake preoperational checks of machinery and equipment according to workplace procedures and/or manufacturer requirements</w:t>
            </w:r>
          </w:p>
          <w:p w:rsidR="00000000" w:rsidRPr="00F812CC" w:rsidP="00F812CC">
            <w:pPr>
              <w:pStyle w:val="BodyText"/>
            </w:pPr>
            <w:r w:rsidRPr="00F812CC">
              <w:t>1.6 Clean and sanitise tools and equipmen</w:t>
            </w:r>
            <w:r w:rsidRPr="00F812CC">
              <w:t xml:space="preserve">t according to contamination control </w:t>
            </w:r>
          </w:p>
          <w:p w:rsidR="00000000" w:rsidRPr="00F812CC" w:rsidP="00F812CC">
            <w:pPr>
              <w:pStyle w:val="BodyText"/>
            </w:pPr>
            <w:r w:rsidRPr="00F812CC">
              <w:t>1.7 Undertake workplace procedures for safe movement of workers and visitors in and around rendering plant and equipment</w:t>
            </w:r>
          </w:p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1.8 Identify emergency stops and isolation controls in work area</w:t>
            </w:r>
          </w:p>
        </w:tc>
      </w:tr>
      <w:tr w:rsidTr="00F15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2. Receive and check raw materi</w:t>
            </w:r>
            <w:r w:rsidRPr="00F812CC">
              <w:t>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2.1 Receive raw materials from approved suppliers and/or internal sources</w:t>
            </w:r>
          </w:p>
          <w:p w:rsidR="00000000" w:rsidRPr="00F812CC" w:rsidP="00F812CC">
            <w:pPr>
              <w:pStyle w:val="BodyText"/>
            </w:pPr>
            <w:r w:rsidRPr="00F812CC">
              <w:t>2.2. Control transfer of raw materials into bulk bins and/or the processing equipment according to workplace procedures</w:t>
            </w:r>
          </w:p>
          <w:p w:rsidR="00000000" w:rsidRPr="00F812CC" w:rsidP="00F812CC">
            <w:pPr>
              <w:pStyle w:val="BodyText"/>
            </w:pPr>
            <w:r w:rsidRPr="00F812CC">
              <w:t>2.3 Check raw material for compliance with raw material s</w:t>
            </w:r>
            <w:r w:rsidRPr="00F812CC">
              <w:t>pecification and regulatory requirements</w:t>
            </w:r>
          </w:p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2.4 Report defects in raw materials promptly and take corrective action</w:t>
            </w:r>
          </w:p>
        </w:tc>
      </w:tr>
      <w:tr w:rsidTr="00F15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3. Operate and monitor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 xml:space="preserve">3.1 Start up and monitor rendering machinery plant and equipment according to product requirements </w:t>
            </w:r>
          </w:p>
          <w:p w:rsidR="00000000" w:rsidRPr="00F812CC" w:rsidP="00F812CC">
            <w:pPr>
              <w:pStyle w:val="BodyText"/>
            </w:pPr>
            <w:r w:rsidRPr="00F812CC">
              <w:t>3</w:t>
            </w:r>
            <w:r w:rsidRPr="00F812CC">
              <w:t>.2 Monitor and adjust rendering temperature and duration to achieve required finished product specifications</w:t>
            </w:r>
          </w:p>
          <w:p w:rsidR="00000000" w:rsidRPr="00F812CC" w:rsidP="00F812CC">
            <w:pPr>
              <w:pStyle w:val="BodyText"/>
            </w:pPr>
            <w:r w:rsidRPr="00F812CC">
              <w:t>3.3 Discharge product effectively and adjust outflow according to workplace procedures</w:t>
            </w:r>
          </w:p>
          <w:p w:rsidR="00000000" w:rsidRPr="00F812CC" w:rsidP="00F812CC">
            <w:pPr>
              <w:pStyle w:val="BodyText"/>
            </w:pPr>
            <w:r w:rsidRPr="00F812CC">
              <w:t xml:space="preserve">3.4 Take and test samples to ensure compliance with product </w:t>
            </w:r>
            <w:r w:rsidRPr="00F812CC">
              <w:t>specifications according to workplace quality assurance (QA) program</w:t>
            </w:r>
          </w:p>
          <w:p w:rsidR="00000000" w:rsidRPr="00F812CC" w:rsidP="00F812CC">
            <w:pPr>
              <w:pStyle w:val="BodyText"/>
            </w:pPr>
            <w:r w:rsidRPr="00F812CC">
              <w:t>3.5 Monitor odours and other environmental emissions according to workplace procedures</w:t>
            </w:r>
          </w:p>
          <w:p w:rsidR="00000000" w:rsidRPr="00F812CC" w:rsidP="00F812CC">
            <w:pPr>
              <w:pStyle w:val="BodyText"/>
            </w:pPr>
            <w:r w:rsidRPr="00F812CC">
              <w:t xml:space="preserve">3.6 Identify sources of potential product contamination and take preventative measures </w:t>
            </w:r>
          </w:p>
          <w:p w:rsidR="00000000" w:rsidRPr="00F812CC" w:rsidP="00F812CC">
            <w:pPr>
              <w:pStyle w:val="BodyText"/>
            </w:pPr>
            <w:r w:rsidRPr="00F812CC">
              <w:t>3.7 Identify production problems and rectify processing faults according to workplace procedures</w:t>
            </w:r>
          </w:p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3.8 Maintain cleanliness of work area in accordance with hygiene and safety requirements</w:t>
            </w:r>
          </w:p>
        </w:tc>
      </w:tr>
      <w:tr w:rsidTr="00F15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4. Package and label finished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4.1 Inspect rendered products t</w:t>
            </w:r>
            <w:r w:rsidRPr="00F812CC">
              <w:t>o confirm all product specifications are met in readiness for packaging</w:t>
            </w:r>
          </w:p>
          <w:p w:rsidR="00000000" w:rsidRPr="00F812CC" w:rsidP="00F812CC">
            <w:pPr>
              <w:pStyle w:val="BodyText"/>
            </w:pPr>
            <w:r w:rsidRPr="00F812CC">
              <w:t>4.2 Package rendered products using approved materials and label according to client, QA program, traceability, regulatory and export requirements</w:t>
            </w:r>
          </w:p>
          <w:p w:rsidR="00000000" w:rsidRPr="00F812CC" w:rsidP="00F812CC">
            <w:pPr>
              <w:pStyle w:val="BodyText"/>
            </w:pPr>
            <w:r w:rsidRPr="00F812CC">
              <w:t>4.3 Transfer products to approved sto</w:t>
            </w:r>
            <w:r w:rsidRPr="00F812CC">
              <w:t>rage areas according to workplace procedures</w:t>
            </w:r>
          </w:p>
          <w:p w:rsidR="00000000" w:rsidRPr="00F812CC" w:rsidP="00F812CC">
            <w:pPr>
              <w:pStyle w:val="BodyText"/>
            </w:pPr>
            <w:r w:rsidRPr="00F812CC">
              <w:t>4.4 Isolate samples of bagged product for future testing according to QA program</w:t>
            </w:r>
          </w:p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4.5 Dispatch packaged products according to workplace procedures</w:t>
            </w:r>
          </w:p>
        </w:tc>
      </w:tr>
      <w:tr w:rsidTr="00F15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5. Shut down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5.1 Perform rendering process shu</w:t>
            </w:r>
            <w:r w:rsidRPr="00F812CC">
              <w:t xml:space="preserve">tdown according to workplace procedures </w:t>
            </w:r>
          </w:p>
          <w:p w:rsidR="00000000" w:rsidRPr="00F812CC" w:rsidP="00F812CC">
            <w:pPr>
              <w:pStyle w:val="BodyText"/>
            </w:pPr>
            <w:r w:rsidRPr="00F812CC">
              <w:t>5.2 Clean machinery, equipment and work areas according to QA program, regulatory and hygiene requirements</w:t>
            </w:r>
          </w:p>
          <w:p w:rsidR="00000000" w:rsidRPr="00F812CC" w:rsidP="00F812CC">
            <w:pPr>
              <w:pStyle w:val="BodyText"/>
            </w:pPr>
            <w:r w:rsidRPr="00F812CC">
              <w:t>5.3 Identify and report maintenance requirements according to workplace</w:t>
            </w:r>
          </w:p>
          <w:p w:rsidR="00000000" w:rsidRPr="00F812CC" w:rsidP="00F812CC">
            <w:pPr>
              <w:pStyle w:val="BodyText"/>
            </w:pPr>
            <w:r w:rsidRPr="00F812CC">
              <w:t>5.4 Maintain workplace records in ap</w:t>
            </w:r>
            <w:r w:rsidRPr="00F812CC">
              <w:t>propriate format</w:t>
            </w:r>
          </w:p>
          <w:p w:rsidR="00000000" w:rsidRPr="00F812CC" w:rsidP="00F812CC">
            <w:pPr>
              <w:pStyle w:val="BodyText"/>
            </w:pPr>
            <w:r w:rsidRPr="00F812CC">
              <w:t>5.5 Conduct handover of rendering process for edible product to another team member when required</w:t>
            </w:r>
          </w:p>
        </w:tc>
      </w:tr>
    </w:tbl>
    <w:p w:rsidR="00000000" w:rsidRPr="00F812CC" w:rsidP="00F812CC">
      <w:pPr>
        <w:pStyle w:val="BodyText"/>
      </w:pPr>
    </w:p>
    <w:p w:rsidR="00000000" w:rsidRPr="00F812CC" w:rsidP="00F812CC">
      <w:pPr>
        <w:pStyle w:val="AllowPageBreak"/>
      </w:pPr>
    </w:p>
    <w:p w:rsidR="00000000" w:rsidRPr="00F812CC" w:rsidP="00F812CC">
      <w:pPr>
        <w:pStyle w:val="Heading1"/>
      </w:pPr>
      <w:bookmarkStart w:id="6" w:name="O_1202599"/>
      <w:bookmarkEnd w:id="6"/>
      <w:r w:rsidRPr="00F812CC">
        <w:t>Foundation Skills</w:t>
      </w:r>
    </w:p>
    <w:p w:rsidR="00000000" w:rsidRPr="00F1530A" w:rsidP="00F1530A">
      <w:pPr>
        <w:pStyle w:val="BodyText"/>
        <w:rPr>
          <w:i/>
        </w:rPr>
      </w:pPr>
      <w:r w:rsidRPr="00F1530A">
        <w:rPr>
          <w:rStyle w:val="Emphasis"/>
        </w:rPr>
        <w:t>This section describes those language, literacy, numeracy and employment skills that are essential for</w:t>
      </w:r>
      <w:r w:rsidRPr="00F1530A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Description</w:t>
            </w:r>
          </w:p>
        </w:tc>
      </w:tr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ListBullet"/>
            </w:pPr>
            <w:r w:rsidRPr="00F812CC">
              <w:t xml:space="preserve">Interpret operating manuals for equipment used to render edible products </w:t>
            </w:r>
          </w:p>
          <w:p w:rsidR="00000000" w:rsidRPr="00F812CC" w:rsidP="00F812CC">
            <w:pPr>
              <w:pStyle w:val="ListBullet"/>
            </w:pPr>
            <w:r w:rsidRPr="00F812CC">
              <w:t>Read and interpret gauges and symbols</w:t>
            </w:r>
          </w:p>
          <w:p w:rsidR="00000000" w:rsidP="00F812CC">
            <w:pPr>
              <w:pStyle w:val="ListBullet"/>
              <w:rPr>
                <w:lang w:val="en-NZ"/>
              </w:rPr>
            </w:pPr>
            <w:r w:rsidRPr="00F812CC">
              <w:t>Interpret and check work orders</w:t>
            </w:r>
          </w:p>
        </w:tc>
      </w:tr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ListBullet"/>
            </w:pPr>
            <w:r w:rsidRPr="00F812CC">
              <w:t>Complete records using industry terminology</w:t>
            </w:r>
          </w:p>
          <w:p w:rsidR="00000000" w:rsidP="00F812CC">
            <w:pPr>
              <w:pStyle w:val="ListBullet"/>
              <w:rPr>
                <w:lang w:val="en-NZ"/>
              </w:rPr>
            </w:pPr>
            <w:r w:rsidRPr="00F812CC">
              <w:t>Sign work orders</w:t>
            </w:r>
          </w:p>
        </w:tc>
      </w:tr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ListBullet"/>
            </w:pPr>
            <w:r w:rsidRPr="00F812CC">
              <w:t>Use open and closed questions to clarify information</w:t>
            </w:r>
          </w:p>
          <w:p w:rsidR="00000000" w:rsidP="00F812CC">
            <w:pPr>
              <w:pStyle w:val="ListBullet"/>
              <w:rPr>
                <w:lang w:val="en-NZ"/>
              </w:rPr>
            </w:pPr>
            <w:r w:rsidRPr="00F812CC">
              <w:t xml:space="preserve">Use active listening, including paraphrasing  </w:t>
            </w:r>
          </w:p>
        </w:tc>
      </w:tr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ListBullet"/>
            </w:pPr>
            <w:r w:rsidRPr="00F812CC">
              <w:t xml:space="preserve">Estimate and measure volume (mls, L), temperature (degrees Celsius), moisture percentage </w:t>
            </w:r>
          </w:p>
          <w:p w:rsidR="00000000" w:rsidRPr="00F812CC" w:rsidP="00F812CC">
            <w:pPr>
              <w:pStyle w:val="ListBullet"/>
            </w:pPr>
            <w:r w:rsidRPr="00F812CC">
              <w:t>Interpret data to identify levels of contamination</w:t>
            </w:r>
          </w:p>
        </w:tc>
      </w:tr>
    </w:tbl>
    <w:p w:rsidR="00000000" w:rsidRPr="00F812CC" w:rsidP="00F812CC">
      <w:pPr>
        <w:pStyle w:val="BodyText"/>
      </w:pPr>
    </w:p>
    <w:p w:rsidR="00000000" w:rsidRPr="00F812CC" w:rsidP="00F812CC">
      <w:pPr>
        <w:pStyle w:val="AllowPageBreak"/>
      </w:pPr>
    </w:p>
    <w:p w:rsidR="00000000" w:rsidRPr="00F812CC" w:rsidP="00F812CC">
      <w:pPr>
        <w:pStyle w:val="Heading1"/>
      </w:pPr>
      <w:bookmarkStart w:id="7" w:name="O_1202601"/>
      <w:bookmarkEnd w:id="7"/>
      <w:r w:rsidRPr="00F812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Bold"/>
              <w:rPr>
                <w:lang w:val="en-NZ"/>
              </w:rPr>
            </w:pPr>
            <w:r w:rsidRPr="00F812CC">
              <w:t>Equivalence status</w:t>
            </w:r>
          </w:p>
        </w:tc>
      </w:tr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AMPREN306 Render edible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AMPA3089 Produce rendered products hygienically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Unit merged with AMPA3090 Render edible products</w:t>
            </w:r>
          </w:p>
          <w:p w:rsidR="00000000" w:rsidRPr="00F812CC" w:rsidP="00F812CC">
            <w:pPr>
              <w:pStyle w:val="BodyText"/>
            </w:pPr>
            <w:r w:rsidRPr="00F812CC">
              <w:t xml:space="preserve">Unit sector added </w:t>
            </w:r>
          </w:p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Unit code and title changed to better reflect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Not equivalent</w:t>
            </w:r>
          </w:p>
        </w:tc>
      </w:tr>
      <w:tr w:rsidTr="00F81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AMPREN</w:t>
            </w:r>
            <w:r w:rsidRPr="00F812CC">
              <w:t>306 Render edible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AMPA3090 Render edible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>Unit merged with AMPA3089 Produce rendered products hygienically</w:t>
            </w:r>
          </w:p>
          <w:p w:rsidR="00000000" w:rsidRPr="00F812CC" w:rsidP="00F812CC">
            <w:pPr>
              <w:pStyle w:val="BodyText"/>
            </w:pPr>
            <w:r w:rsidRPr="00F812CC">
              <w:t>Unit sector added</w:t>
            </w:r>
          </w:p>
          <w:p w:rsidR="00000000" w:rsidRPr="00F812CC" w:rsidP="00F812CC">
            <w:pPr>
              <w:pStyle w:val="BodyText"/>
            </w:pPr>
            <w:r w:rsidRPr="00F812CC">
              <w:t>Unit code changed to better reflect work task Application changed to better reflect work task</w:t>
            </w:r>
          </w:p>
          <w:p w:rsidR="00000000" w:rsidRPr="00F812CC" w:rsidP="00F812CC">
            <w:pPr>
              <w:pStyle w:val="BodyText"/>
            </w:pPr>
            <w:r w:rsidRPr="00F812CC">
              <w:t>New elements 4 and 5</w:t>
            </w:r>
            <w:r w:rsidRPr="00F812CC">
              <w:t xml:space="preserve"> added</w:t>
            </w:r>
          </w:p>
          <w:p w:rsidR="00000000" w:rsidRPr="00F812CC" w:rsidP="00F812CC">
            <w:pPr>
              <w:pStyle w:val="BodyText"/>
            </w:pPr>
            <w:r w:rsidRPr="00F812CC">
              <w:t>Performance criteria added, revised, reordered, or merged for clarity</w:t>
            </w:r>
          </w:p>
          <w:p w:rsidR="00000000" w:rsidP="00F812CC">
            <w:pPr>
              <w:pStyle w:val="BodyText"/>
              <w:rPr>
                <w:lang w:val="en-NZ"/>
              </w:rPr>
            </w:pPr>
            <w:r w:rsidRPr="00F812CC">
              <w:t>Foundation skills added 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2CC" w:rsidP="00F812CC">
            <w:pPr>
              <w:pStyle w:val="BodyText"/>
            </w:pPr>
            <w:r w:rsidRPr="00F812CC">
              <w:t xml:space="preserve">Not equivalent </w:t>
            </w:r>
          </w:p>
          <w:p w:rsidR="00000000" w:rsidRPr="00F812CC" w:rsidP="00F812CC">
            <w:pPr>
              <w:pStyle w:val="BodyText"/>
            </w:pPr>
          </w:p>
          <w:p w:rsidR="00000000" w:rsidRPr="00F812CC" w:rsidP="00F812CC">
            <w:pPr>
              <w:pStyle w:val="BodyText"/>
            </w:pPr>
          </w:p>
        </w:tc>
      </w:tr>
    </w:tbl>
    <w:p w:rsidR="00000000" w:rsidRPr="00F812CC" w:rsidP="00F812CC">
      <w:pPr>
        <w:pStyle w:val="BodyText"/>
      </w:pPr>
    </w:p>
    <w:p w:rsidR="00000000" w:rsidRPr="00F812CC" w:rsidP="00F812CC">
      <w:pPr>
        <w:pStyle w:val="AllowPageBreak"/>
      </w:pPr>
    </w:p>
    <w:p w:rsidR="00000000" w:rsidRPr="00F812CC" w:rsidP="00F812CC">
      <w:pPr>
        <w:pStyle w:val="Heading1"/>
      </w:pPr>
      <w:bookmarkStart w:id="8" w:name="O_1202608"/>
      <w:bookmarkEnd w:id="8"/>
      <w:r w:rsidRPr="00F812CC">
        <w:t>Links</w:t>
      </w:r>
    </w:p>
    <w:p w:rsidR="00000000" w:rsidRPr="00F812CC" w:rsidP="00F1530A">
      <w:pPr>
        <w:pStyle w:val="BodyText"/>
      </w:pPr>
      <w:r w:rsidRPr="00F812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3A4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12CC" w:rsidP="00F812CC"/>
    <w:sectPr w:rsidSect="00F812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C" w:rsidRPr="00F1530A" w:rsidP="00F15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0A" w:rsidP="00F81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30A" w:rsidP="00F81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530A" w:rsidP="00F81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2CC" w:rsidRPr="00F1530A" w:rsidP="00F15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0A" w:rsidRPr="002D2AF8" w:rsidP="00F81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AMPREN306 Render edible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1530A" w:rsidP="00F81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0E3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CCA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2CC"/>
  </w:style>
  <w:style w:type="character" w:customStyle="1" w:styleId="Heading1Char">
    <w:name w:val="Heading 1 Char"/>
    <w:basedOn w:val="DefaultParagraphFont"/>
    <w:link w:val="Heading1"/>
    <w:rsid w:val="00F81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2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2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12CC"/>
    <w:rPr>
      <w:i/>
    </w:rPr>
  </w:style>
  <w:style w:type="paragraph" w:customStyle="1" w:styleId="SuperHeading">
    <w:name w:val="SuperHeading"/>
    <w:basedOn w:val="Normal"/>
    <w:rsid w:val="00F81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12CC"/>
    <w:rPr>
      <w:b/>
    </w:rPr>
  </w:style>
  <w:style w:type="character" w:customStyle="1" w:styleId="Heading2Char">
    <w:name w:val="Heading 2 Char"/>
    <w:basedOn w:val="DefaultParagraphFont"/>
    <w:link w:val="Heading2"/>
    <w:rsid w:val="00F81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2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2CC"/>
    <w:rPr>
      <w:b/>
      <w:spacing w:val="0"/>
    </w:rPr>
  </w:style>
  <w:style w:type="paragraph" w:customStyle="1" w:styleId="SuperTitle">
    <w:name w:val="SuperTitle"/>
    <w:basedOn w:val="Title"/>
    <w:rsid w:val="00F81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2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2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2CC"/>
  </w:style>
  <w:style w:type="paragraph" w:styleId="TableofFigures">
    <w:name w:val="table of figures"/>
    <w:basedOn w:val="Normal"/>
    <w:next w:val="Normal"/>
    <w:semiHidden/>
    <w:rsid w:val="00F81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2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2CC"/>
    <w:rPr>
      <w:rFonts w:ascii="Wingdings" w:hAnsi="Wingdings"/>
    </w:rPr>
  </w:style>
  <w:style w:type="paragraph" w:customStyle="1" w:styleId="TableHeading">
    <w:name w:val="Table Heading"/>
    <w:basedOn w:val="HeadingBase"/>
    <w:rsid w:val="00F81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2CC"/>
    <w:rPr>
      <w:color w:val="0033CC"/>
      <w:u w:val="none"/>
    </w:rPr>
  </w:style>
  <w:style w:type="paragraph" w:customStyle="1" w:styleId="BodyTextRight">
    <w:name w:val="Body Text Right"/>
    <w:basedOn w:val="BodyText"/>
    <w:rsid w:val="00F81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2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2CC"/>
    <w:rPr>
      <w:sz w:val="32"/>
    </w:rPr>
  </w:style>
  <w:style w:type="paragraph" w:customStyle="1" w:styleId="HeadingProcedure">
    <w:name w:val="Heading Procedure"/>
    <w:basedOn w:val="HeadingBase"/>
    <w:next w:val="Normal"/>
    <w:rsid w:val="00F81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2CC"/>
    <w:pPr>
      <w:spacing w:before="60" w:after="60"/>
    </w:pPr>
  </w:style>
  <w:style w:type="paragraph" w:styleId="ListContinue">
    <w:name w:val="List Continue"/>
    <w:basedOn w:val="List"/>
    <w:rsid w:val="00F812CC"/>
    <w:pPr>
      <w:ind w:firstLine="0"/>
    </w:pPr>
  </w:style>
  <w:style w:type="paragraph" w:customStyle="1" w:styleId="ListNote">
    <w:name w:val="List Note"/>
    <w:basedOn w:val="List"/>
    <w:rsid w:val="00F81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2CC"/>
    <w:rPr>
      <w:rFonts w:ascii="Courier New" w:hAnsi="Courier New"/>
    </w:rPr>
  </w:style>
  <w:style w:type="paragraph" w:customStyle="1" w:styleId="NoteBullet">
    <w:name w:val="Note Bullet"/>
    <w:basedOn w:val="Note"/>
    <w:rsid w:val="00F81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2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2CC"/>
    <w:rPr>
      <w:b/>
      <w:smallCaps/>
    </w:rPr>
  </w:style>
  <w:style w:type="paragraph" w:customStyle="1" w:styleId="TableListNumber">
    <w:name w:val="Table List Number"/>
    <w:basedOn w:val="ListNumber"/>
    <w:rsid w:val="00F81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2CC"/>
    <w:pPr>
      <w:numPr>
        <w:numId w:val="8"/>
      </w:numPr>
    </w:pPr>
  </w:style>
  <w:style w:type="paragraph" w:customStyle="1" w:styleId="ListAlpha2">
    <w:name w:val="List Alpha 2"/>
    <w:basedOn w:val="List2"/>
    <w:rsid w:val="00F812CC"/>
    <w:pPr>
      <w:numPr>
        <w:numId w:val="7"/>
      </w:numPr>
    </w:pPr>
  </w:style>
  <w:style w:type="paragraph" w:styleId="List2">
    <w:name w:val="List 2"/>
    <w:basedOn w:val="BodyText"/>
    <w:rsid w:val="00F81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2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2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2CC"/>
    <w:pPr>
      <w:numPr>
        <w:numId w:val="3"/>
      </w:numPr>
    </w:pPr>
  </w:style>
  <w:style w:type="paragraph" w:styleId="ListContinue2">
    <w:name w:val="List Continue 2"/>
    <w:basedOn w:val="List2"/>
    <w:rsid w:val="00F812CC"/>
    <w:pPr>
      <w:ind w:firstLine="0"/>
    </w:pPr>
  </w:style>
  <w:style w:type="paragraph" w:styleId="ListContinue3">
    <w:name w:val="List Continue 3"/>
    <w:basedOn w:val="List3"/>
    <w:rsid w:val="00F812CC"/>
    <w:pPr>
      <w:ind w:left="1021" w:firstLine="0"/>
    </w:pPr>
  </w:style>
  <w:style w:type="paragraph" w:styleId="ListContinue4">
    <w:name w:val="List Continue 4"/>
    <w:basedOn w:val="List4"/>
    <w:rsid w:val="00F812CC"/>
    <w:pPr>
      <w:ind w:firstLine="0"/>
    </w:pPr>
  </w:style>
  <w:style w:type="paragraph" w:styleId="ListContinue5">
    <w:name w:val="List Continue 5"/>
    <w:basedOn w:val="List5"/>
    <w:rsid w:val="00F812CC"/>
    <w:pPr>
      <w:ind w:firstLine="0"/>
    </w:pPr>
  </w:style>
  <w:style w:type="paragraph" w:styleId="ListNumber3">
    <w:name w:val="List Number 3"/>
    <w:basedOn w:val="List3"/>
    <w:rsid w:val="00F812CC"/>
    <w:pPr>
      <w:numPr>
        <w:numId w:val="4"/>
      </w:numPr>
    </w:pPr>
  </w:style>
  <w:style w:type="paragraph" w:styleId="ListNumber4">
    <w:name w:val="List Number 4"/>
    <w:basedOn w:val="List4"/>
    <w:rsid w:val="00F812CC"/>
    <w:pPr>
      <w:numPr>
        <w:numId w:val="5"/>
      </w:numPr>
    </w:pPr>
  </w:style>
  <w:style w:type="paragraph" w:styleId="ListNumber5">
    <w:name w:val="List Number 5"/>
    <w:basedOn w:val="List5"/>
    <w:rsid w:val="00F812CC"/>
    <w:pPr>
      <w:numPr>
        <w:numId w:val="6"/>
      </w:numPr>
    </w:pPr>
  </w:style>
  <w:style w:type="paragraph" w:styleId="BlockText">
    <w:name w:val="Block Text"/>
    <w:basedOn w:val="Normal"/>
    <w:rsid w:val="00F81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2CC"/>
    <w:rPr>
      <w:sz w:val="16"/>
      <w:vertAlign w:val="superscript"/>
    </w:rPr>
  </w:style>
  <w:style w:type="character" w:customStyle="1" w:styleId="Symbols">
    <w:name w:val="Symbols"/>
    <w:basedOn w:val="DefaultParagraphFont"/>
    <w:rsid w:val="00F812CC"/>
    <w:rPr>
      <w:rFonts w:ascii="Symbol" w:hAnsi="Symbol"/>
    </w:rPr>
  </w:style>
  <w:style w:type="character" w:customStyle="1" w:styleId="MenuOptions">
    <w:name w:val="Menu Options"/>
    <w:basedOn w:val="DefaultParagraphFont"/>
    <w:rsid w:val="00F81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2CC"/>
    <w:rPr>
      <w:b/>
    </w:rPr>
  </w:style>
  <w:style w:type="character" w:customStyle="1" w:styleId="Underlined">
    <w:name w:val="Underlined"/>
    <w:basedOn w:val="DefaultParagraphFont"/>
    <w:rsid w:val="00F812CC"/>
    <w:rPr>
      <w:u w:val="single"/>
    </w:rPr>
  </w:style>
  <w:style w:type="paragraph" w:customStyle="1" w:styleId="TableBodyTextRight">
    <w:name w:val="Table Body Text Right"/>
    <w:basedOn w:val="TableBodyText"/>
    <w:rsid w:val="00F81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2CC"/>
    <w:rPr>
      <w:sz w:val="18"/>
    </w:rPr>
  </w:style>
  <w:style w:type="paragraph" w:customStyle="1" w:styleId="BodySmallRight">
    <w:name w:val="Body Small Right"/>
    <w:basedOn w:val="BodyTextRight"/>
    <w:rsid w:val="00F812CC"/>
    <w:rPr>
      <w:sz w:val="18"/>
      <w:szCs w:val="18"/>
    </w:rPr>
  </w:style>
  <w:style w:type="paragraph" w:customStyle="1" w:styleId="MarginEdition">
    <w:name w:val="Margin Edition"/>
    <w:basedOn w:val="MarginNote"/>
    <w:rsid w:val="00F81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2CC"/>
    <w:rPr>
      <w:sz w:val="2"/>
      <w:szCs w:val="2"/>
    </w:rPr>
  </w:style>
  <w:style w:type="character" w:customStyle="1" w:styleId="Small">
    <w:name w:val="Small"/>
    <w:basedOn w:val="DefaultParagraphFont"/>
    <w:rsid w:val="00F812CC"/>
    <w:rPr>
      <w:sz w:val="16"/>
    </w:rPr>
  </w:style>
  <w:style w:type="paragraph" w:customStyle="1" w:styleId="WideTable">
    <w:name w:val="Wide Table"/>
    <w:basedOn w:val="Normal"/>
    <w:rsid w:val="00F81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2CC"/>
  </w:style>
  <w:style w:type="paragraph" w:styleId="Quote">
    <w:name w:val="Quote"/>
    <w:basedOn w:val="Heading1"/>
    <w:link w:val="QuoteChar"/>
    <w:qFormat/>
    <w:rsid w:val="00F81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2CC"/>
    <w:pPr>
      <w:pageBreakBefore/>
    </w:pPr>
  </w:style>
  <w:style w:type="paragraph" w:customStyle="1" w:styleId="Border">
    <w:name w:val="Border"/>
    <w:basedOn w:val="Normal"/>
    <w:qFormat/>
    <w:rsid w:val="00F81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2CC"/>
    <w:rPr>
      <w:u w:val="single"/>
    </w:rPr>
  </w:style>
  <w:style w:type="character" w:customStyle="1" w:styleId="BoldandItalics">
    <w:name w:val="Bold and Italics"/>
    <w:qFormat/>
    <w:rsid w:val="00F812CC"/>
    <w:rPr>
      <w:b/>
      <w:i/>
      <w:u w:val="none"/>
    </w:rPr>
  </w:style>
  <w:style w:type="paragraph" w:styleId="BalloonText">
    <w:name w:val="Balloon Text"/>
    <w:basedOn w:val="Normal"/>
    <w:link w:val="BalloonTextChar"/>
    <w:rsid w:val="00F81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2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5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5413</Characters>
  <Application>Microsoft Office Word</Application>
  <DocSecurity>0</DocSecurity>
  <Lines>193</Lines>
  <Paragraphs>113</Paragraphs>
  <ScaleCrop>false</ScaleCrop>
  <Company>Author-it Software Corporation Ltd.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AMPREN306 Render edible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