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354" w:rsidP="007A4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AMPREN305 Operate a blood coagulation and drying process</w:t>
      </w:r>
      <w:r>
        <w:fldChar w:fldCharType="end"/>
      </w:r>
    </w:p>
    <w:p w:rsidR="007A4354" w:rsidP="007A4354">
      <w:pPr>
        <w:pStyle w:val="Version"/>
        <w:sectPr w:rsidSect="00440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751" w:rsidP="00440751">
      <w:pPr>
        <w:pStyle w:val="SuperHeading"/>
      </w:pPr>
      <w:r w:rsidRPr="00440751">
        <w:t>Assessment Requirements for AMPREN305 Operate a blood coagulation and drying process</w:t>
      </w:r>
    </w:p>
    <w:p w:rsidR="00000000" w:rsidRPr="00440751" w:rsidP="00440751">
      <w:pPr>
        <w:pStyle w:val="Heading1"/>
      </w:pPr>
      <w:bookmarkStart w:id="1" w:name="O_1202584"/>
      <w:bookmarkEnd w:id="1"/>
      <w:r w:rsidRPr="004407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51">
            <w:pPr>
              <w:pStyle w:val="BodyTextBold"/>
              <w:rPr>
                <w:lang w:val="en-NZ"/>
              </w:rPr>
            </w:pPr>
            <w:r w:rsidRPr="004407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51">
            <w:pPr>
              <w:pStyle w:val="BodyTextBold"/>
              <w:rPr>
                <w:lang w:val="en-NZ"/>
              </w:rPr>
            </w:pPr>
            <w:r w:rsidRPr="00440751">
              <w:t>Comments</w:t>
            </w:r>
          </w:p>
        </w:tc>
      </w:tr>
      <w:tr w:rsidTr="0044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51">
            <w:pPr>
              <w:pStyle w:val="BodyText"/>
              <w:rPr>
                <w:lang w:val="en-NZ"/>
              </w:rPr>
            </w:pPr>
            <w:r w:rsidRPr="004407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51" w:rsidP="00440751">
            <w:pPr>
              <w:pStyle w:val="BodyText"/>
            </w:pPr>
            <w:r w:rsidRPr="00440751">
              <w:t>This version released with AMP Australian Meat Processing Training Package Version 7.0.</w:t>
            </w:r>
          </w:p>
        </w:tc>
      </w:tr>
    </w:tbl>
    <w:p w:rsidR="00000000" w:rsidRPr="00440751" w:rsidP="00440751">
      <w:pPr>
        <w:pStyle w:val="BodyText"/>
      </w:pPr>
    </w:p>
    <w:p w:rsidR="00000000" w:rsidRPr="00440751" w:rsidP="00440751">
      <w:pPr>
        <w:pStyle w:val="AllowPageBreak"/>
      </w:pPr>
    </w:p>
    <w:p w:rsidR="00000000" w:rsidRPr="00440751" w:rsidP="00440751">
      <w:pPr>
        <w:pStyle w:val="Heading1"/>
      </w:pPr>
      <w:bookmarkStart w:id="2" w:name="O_1202585"/>
      <w:bookmarkEnd w:id="2"/>
      <w:r w:rsidRPr="00440751">
        <w:t>Performance Evidence</w:t>
      </w:r>
    </w:p>
    <w:p w:rsidR="00000000" w:rsidRPr="00440751" w:rsidP="007A4354">
      <w:pPr>
        <w:pStyle w:val="BodyText"/>
      </w:pPr>
      <w:r w:rsidRPr="00440751">
        <w:t xml:space="preserve">An individual demonstrating competency must satisfy all of the elements and performance criteria in this unit. </w:t>
      </w:r>
    </w:p>
    <w:p w:rsidR="00000000" w:rsidRPr="00440751" w:rsidP="007A4354">
      <w:pPr>
        <w:pStyle w:val="BodyText"/>
      </w:pPr>
      <w:r w:rsidRPr="00440751">
        <w:t>There must be evidence that the individual has safely set up, operated, monitored and shut down two separate blood</w:t>
      </w:r>
      <w:r w:rsidRPr="00440751">
        <w:t xml:space="preserve"> coagulation and drying processes to convert raw materials into blood meal products according to specific work orders.</w:t>
      </w:r>
    </w:p>
    <w:p w:rsidR="00000000" w:rsidRPr="00440751" w:rsidP="007A4354">
      <w:pPr>
        <w:pStyle w:val="BodyText"/>
      </w:pPr>
      <w:r w:rsidRPr="00440751">
        <w:t>For each process, there must be evidence that the individual has:</w:t>
      </w:r>
    </w:p>
    <w:p w:rsidR="00000000" w:rsidRPr="00440751" w:rsidP="00440751">
      <w:pPr>
        <w:pStyle w:val="ListBullet"/>
      </w:pPr>
      <w:r w:rsidRPr="00440751">
        <w:t>confirmed the product quantity and quality requirements</w:t>
      </w:r>
    </w:p>
    <w:p w:rsidR="00000000" w:rsidRPr="00440751" w:rsidP="00440751">
      <w:pPr>
        <w:pStyle w:val="ListBullet"/>
      </w:pPr>
      <w:r w:rsidRPr="00440751">
        <w:t>identified at least three food safety hazards, assessed and controlled risk using HACCP techniques and workplace health and safety requirements</w:t>
      </w:r>
    </w:p>
    <w:p w:rsidR="00000000" w:rsidRPr="00440751" w:rsidP="00440751">
      <w:pPr>
        <w:pStyle w:val="ListBullet"/>
      </w:pPr>
      <w:r w:rsidRPr="00440751">
        <w:t>identified at least three safety hazards, assessed and controlled risk using workplace health and safety procedu</w:t>
      </w:r>
      <w:r w:rsidRPr="00440751">
        <w:t>res</w:t>
      </w:r>
    </w:p>
    <w:p w:rsidR="00000000" w:rsidRPr="00440751" w:rsidP="00440751">
      <w:pPr>
        <w:pStyle w:val="ListBullet"/>
      </w:pPr>
      <w:r w:rsidRPr="00440751">
        <w:t>selected and correctly fitted appropriate personal protective equipment and clothing required for worker safety and food contamination control</w:t>
      </w:r>
    </w:p>
    <w:p w:rsidR="00000000" w:rsidRPr="00440751" w:rsidP="00440751">
      <w:pPr>
        <w:pStyle w:val="ListBullet"/>
      </w:pPr>
      <w:r w:rsidRPr="00440751">
        <w:t>conducted preoperational check of machinery and equipment including access to emergency stops and isolation c</w:t>
      </w:r>
      <w:r w:rsidRPr="00440751">
        <w:t>ontrols in work area</w:t>
      </w:r>
    </w:p>
    <w:p w:rsidR="00000000" w:rsidRPr="00440751" w:rsidP="00440751">
      <w:pPr>
        <w:pStyle w:val="ListBullet"/>
      </w:pPr>
      <w:r w:rsidRPr="00440751">
        <w:t>set up and calibrated blood coagulation and drying equipment including temperature and duration</w:t>
      </w:r>
    </w:p>
    <w:p w:rsidR="00000000" w:rsidRPr="00440751" w:rsidP="00440751">
      <w:pPr>
        <w:pStyle w:val="ListBullet"/>
      </w:pPr>
      <w:r w:rsidRPr="00440751">
        <w:t>completed cleaning of blood coagulation and drying equipment according to hygienic requirements</w:t>
      </w:r>
    </w:p>
    <w:p w:rsidR="00000000" w:rsidRPr="00440751" w:rsidP="00440751">
      <w:pPr>
        <w:pStyle w:val="ListBullet"/>
      </w:pPr>
      <w:r w:rsidRPr="00440751">
        <w:t xml:space="preserve">identified and taken corrective action for </w:t>
      </w:r>
      <w:r w:rsidRPr="00440751">
        <w:t>two of the following:</w:t>
      </w:r>
    </w:p>
    <w:p w:rsidR="00000000" w:rsidRPr="00440751" w:rsidP="00440751">
      <w:pPr>
        <w:pStyle w:val="ListBullet2"/>
      </w:pPr>
      <w:r w:rsidRPr="00440751">
        <w:t>flow of coagulated blood</w:t>
      </w:r>
    </w:p>
    <w:p w:rsidR="00000000" w:rsidRPr="00440751" w:rsidP="00440751">
      <w:pPr>
        <w:pStyle w:val="ListBullet2"/>
      </w:pPr>
      <w:r w:rsidRPr="00440751">
        <w:t>dryer discharge temperature</w:t>
      </w:r>
    </w:p>
    <w:p w:rsidR="00000000" w:rsidRPr="00440751" w:rsidP="00440751">
      <w:pPr>
        <w:pStyle w:val="ListBullet2"/>
      </w:pPr>
      <w:r w:rsidRPr="00440751">
        <w:t>colour of stick water</w:t>
      </w:r>
    </w:p>
    <w:p w:rsidR="00000000" w:rsidRPr="00440751" w:rsidP="00440751">
      <w:pPr>
        <w:pStyle w:val="ListBullet2"/>
      </w:pPr>
      <w:r w:rsidRPr="00440751">
        <w:t xml:space="preserve">spills </w:t>
      </w:r>
    </w:p>
    <w:p w:rsidR="00000000" w:rsidRPr="00440751" w:rsidP="00440751">
      <w:pPr>
        <w:pStyle w:val="ListBullet2"/>
      </w:pPr>
      <w:r w:rsidRPr="00440751">
        <w:t xml:space="preserve">contamination </w:t>
      </w:r>
    </w:p>
    <w:p w:rsidR="00000000" w:rsidRPr="00440751" w:rsidP="00440751">
      <w:pPr>
        <w:pStyle w:val="ListBullet"/>
      </w:pPr>
      <w:r w:rsidRPr="00440751">
        <w:t>monitored environmental emissions according to workplace and Environmental Protection Agency (EPA) requirements, including odour contr</w:t>
      </w:r>
      <w:r w:rsidRPr="00440751">
        <w:t>ol and one of the following:</w:t>
      </w:r>
    </w:p>
    <w:p w:rsidR="00000000" w:rsidRPr="00440751" w:rsidP="00440751">
      <w:pPr>
        <w:pStyle w:val="ListBullet2"/>
      </w:pPr>
      <w:r w:rsidRPr="00440751">
        <w:t>waste water</w:t>
      </w:r>
    </w:p>
    <w:p w:rsidR="00000000" w:rsidRPr="00440751" w:rsidP="00440751">
      <w:pPr>
        <w:pStyle w:val="ListBullet2"/>
      </w:pPr>
      <w:r w:rsidRPr="00440751">
        <w:t>heat recovery</w:t>
      </w:r>
    </w:p>
    <w:p w:rsidR="00000000" w:rsidRPr="00440751" w:rsidP="00440751">
      <w:pPr>
        <w:pStyle w:val="ListBullet2"/>
      </w:pPr>
      <w:r w:rsidRPr="00440751">
        <w:t>noise</w:t>
      </w:r>
    </w:p>
    <w:p w:rsidR="00000000" w:rsidRPr="00440751" w:rsidP="00440751">
      <w:pPr>
        <w:pStyle w:val="ListBullet2"/>
      </w:pPr>
      <w:r w:rsidRPr="00440751">
        <w:t>heat</w:t>
      </w:r>
    </w:p>
    <w:p w:rsidR="00000000" w:rsidRPr="00440751" w:rsidP="00440751">
      <w:pPr>
        <w:pStyle w:val="ListBullet"/>
      </w:pPr>
      <w:r w:rsidRPr="00440751">
        <w:t>completed written production records using accurate industry terminology</w:t>
      </w:r>
    </w:p>
    <w:p w:rsidR="00000000" w:rsidRPr="00440751" w:rsidP="00440751">
      <w:pPr>
        <w:pStyle w:val="ListBullet"/>
      </w:pPr>
      <w:r w:rsidRPr="00440751">
        <w:t>provided a verbal briefing during handover process to team member.</w:t>
      </w:r>
    </w:p>
    <w:p w:rsidR="00000000" w:rsidRPr="00440751" w:rsidP="00440751">
      <w:pPr>
        <w:pStyle w:val="AllowPageBreak"/>
      </w:pPr>
    </w:p>
    <w:p w:rsidR="00000000" w:rsidRPr="00440751" w:rsidP="00440751">
      <w:pPr>
        <w:pStyle w:val="Heading1"/>
      </w:pPr>
      <w:bookmarkStart w:id="3" w:name="O_1202586"/>
      <w:bookmarkEnd w:id="3"/>
      <w:r w:rsidRPr="00440751">
        <w:t>Knowledge Evidence</w:t>
      </w:r>
    </w:p>
    <w:p w:rsidR="00000000" w:rsidRPr="00440751" w:rsidP="007A4354">
      <w:pPr>
        <w:pStyle w:val="BodyText"/>
      </w:pPr>
      <w:r w:rsidRPr="00440751">
        <w:t>An individual must be able to demonstrate the knowledge required to perform the tasks outlined in the elements and performance criteria of this unit. This includes knowledge of:</w:t>
      </w:r>
    </w:p>
    <w:p w:rsidR="00000000" w:rsidRPr="00440751" w:rsidP="00440751">
      <w:pPr>
        <w:pStyle w:val="ListBullet"/>
      </w:pPr>
      <w:r w:rsidRPr="00440751">
        <w:t>purpose and steps related to rendering process and function of blood coagulat</w:t>
      </w:r>
      <w:r w:rsidRPr="00440751">
        <w:t>ion and drying process, from blood collection to load out of blood meal</w:t>
      </w:r>
    </w:p>
    <w:p w:rsidR="00000000" w:rsidRPr="00440751" w:rsidP="00440751">
      <w:pPr>
        <w:pStyle w:val="ListBullet"/>
      </w:pPr>
      <w:r w:rsidRPr="00440751">
        <w:t xml:space="preserve">workplace health and safety requirements associated with the operation of a blood coagulation and drying process </w:t>
      </w:r>
    </w:p>
    <w:p w:rsidR="00000000" w:rsidRPr="00440751" w:rsidP="00440751">
      <w:pPr>
        <w:pStyle w:val="ListBullet"/>
      </w:pPr>
      <w:r w:rsidRPr="00440751">
        <w:t xml:space="preserve">workplace procedures for safe movement of workers and visitors in and </w:t>
      </w:r>
      <w:r w:rsidRPr="00440751">
        <w:t>around blood coagulation and drying process machinery and equipment</w:t>
      </w:r>
    </w:p>
    <w:p w:rsidR="00000000" w:rsidRPr="00440751" w:rsidP="00440751">
      <w:pPr>
        <w:pStyle w:val="ListBullet"/>
      </w:pPr>
      <w:r w:rsidRPr="00440751">
        <w:t>key features of HACCP principles related to blood coagulation and drying processes</w:t>
      </w:r>
    </w:p>
    <w:p w:rsidR="00000000" w:rsidRPr="00440751" w:rsidP="00440751">
      <w:pPr>
        <w:pStyle w:val="ListBullet"/>
      </w:pPr>
      <w:r w:rsidRPr="00440751">
        <w:t>key features of workplace procedures for the operation of a blood coagulation and drying process includin</w:t>
      </w:r>
      <w:r w:rsidRPr="00440751">
        <w:t>g:</w:t>
      </w:r>
    </w:p>
    <w:p w:rsidR="00000000" w:rsidRPr="00440751" w:rsidP="00440751">
      <w:pPr>
        <w:pStyle w:val="ListBullet2"/>
      </w:pPr>
      <w:r w:rsidRPr="00440751">
        <w:t>agents which affect quality of raw blood in the holding tank</w:t>
      </w:r>
    </w:p>
    <w:p w:rsidR="00000000" w:rsidRPr="00440751" w:rsidP="00440751">
      <w:pPr>
        <w:pStyle w:val="ListBullet2"/>
      </w:pPr>
      <w:r w:rsidRPr="00440751">
        <w:t xml:space="preserve">blood processing operations Critical Control Points </w:t>
      </w:r>
    </w:p>
    <w:p w:rsidR="00000000" w:rsidRPr="00440751" w:rsidP="00440751">
      <w:pPr>
        <w:pStyle w:val="ListBullet2"/>
      </w:pPr>
      <w:r w:rsidRPr="00440751">
        <w:t>qualities of raw materials and final product</w:t>
      </w:r>
    </w:p>
    <w:p w:rsidR="00000000" w:rsidRPr="00440751" w:rsidP="00440751">
      <w:pPr>
        <w:pStyle w:val="ListBullet2"/>
      </w:pPr>
      <w:r w:rsidRPr="00440751">
        <w:t>application of preservatives to aged blood</w:t>
      </w:r>
    </w:p>
    <w:p w:rsidR="00000000" w:rsidRPr="00440751" w:rsidP="00440751">
      <w:pPr>
        <w:pStyle w:val="ListBullet2"/>
      </w:pPr>
      <w:r w:rsidRPr="00440751">
        <w:t xml:space="preserve">equipment cleanliness requirements to meet food safety standards </w:t>
      </w:r>
    </w:p>
    <w:p w:rsidR="00000000" w:rsidRPr="00440751" w:rsidP="00440751">
      <w:pPr>
        <w:pStyle w:val="ListBullet2"/>
      </w:pPr>
      <w:r w:rsidRPr="00440751">
        <w:t>workplace and end user blood meal specifications</w:t>
      </w:r>
    </w:p>
    <w:p w:rsidR="00000000" w:rsidRPr="00440751" w:rsidP="00440751">
      <w:pPr>
        <w:pStyle w:val="ListBullet"/>
      </w:pPr>
      <w:r w:rsidRPr="00440751">
        <w:t xml:space="preserve">AS5008 Hygienic Rendering of Animal Products </w:t>
      </w:r>
    </w:p>
    <w:p w:rsidR="00000000" w:rsidRPr="00440751" w:rsidP="00440751">
      <w:pPr>
        <w:pStyle w:val="ListBullet"/>
      </w:pPr>
      <w:r w:rsidRPr="00440751">
        <w:t>Australian Renderers Association</w:t>
      </w:r>
      <w:r>
        <w:t>’</w:t>
      </w:r>
      <w:r w:rsidRPr="00440751">
        <w:t>s Code of Practice for Hygienic Rendering of Animal Products,</w:t>
      </w:r>
      <w:r w:rsidRPr="00440751">
        <w:t xml:space="preserve"> including cleaning and sanitation of blood processing equipment</w:t>
      </w:r>
    </w:p>
    <w:p w:rsidR="00000000" w:rsidRPr="00440751" w:rsidP="00440751">
      <w:pPr>
        <w:pStyle w:val="ListBullet"/>
      </w:pPr>
      <w:r w:rsidRPr="00440751">
        <w:t>WHS risks associated with handling and coagulating raw blood including hydrogen sulfide</w:t>
      </w:r>
    </w:p>
    <w:p w:rsidR="00000000" w:rsidRPr="00440751" w:rsidP="00440751">
      <w:pPr>
        <w:pStyle w:val="ListBullet"/>
      </w:pPr>
      <w:r w:rsidRPr="00440751">
        <w:t>key features of regulatory requirements for Restricted Animal Material, including cross contamination</w:t>
      </w:r>
    </w:p>
    <w:p w:rsidR="00000000" w:rsidRPr="00440751" w:rsidP="00440751">
      <w:pPr>
        <w:pStyle w:val="ListBullet"/>
      </w:pPr>
      <w:r w:rsidRPr="00440751">
        <w:t>w</w:t>
      </w:r>
      <w:r w:rsidRPr="00440751">
        <w:t xml:space="preserve">orkplace and EPA requirements for monitoring environmental emissions, including; </w:t>
      </w:r>
    </w:p>
    <w:p w:rsidR="00000000" w:rsidRPr="00440751" w:rsidP="00440751">
      <w:pPr>
        <w:pStyle w:val="ListBullet2"/>
      </w:pPr>
      <w:r w:rsidRPr="00440751">
        <w:t>odour control</w:t>
      </w:r>
    </w:p>
    <w:p w:rsidR="00000000" w:rsidRPr="00440751" w:rsidP="00440751">
      <w:pPr>
        <w:pStyle w:val="ListBullet2"/>
      </w:pPr>
      <w:r w:rsidRPr="00440751">
        <w:t>waste water</w:t>
      </w:r>
    </w:p>
    <w:p w:rsidR="00000000" w:rsidRPr="00440751" w:rsidP="00440751">
      <w:pPr>
        <w:pStyle w:val="ListBullet2"/>
      </w:pPr>
      <w:r w:rsidRPr="00440751">
        <w:t>heat recovery</w:t>
      </w:r>
    </w:p>
    <w:p w:rsidR="00000000" w:rsidRPr="00440751" w:rsidP="00440751">
      <w:pPr>
        <w:pStyle w:val="ListBullet2"/>
      </w:pPr>
      <w:r w:rsidRPr="00440751">
        <w:t xml:space="preserve">noise </w:t>
      </w:r>
    </w:p>
    <w:p w:rsidR="00000000" w:rsidRPr="00440751" w:rsidP="00440751">
      <w:pPr>
        <w:pStyle w:val="ListBullet"/>
      </w:pPr>
      <w:r w:rsidRPr="00440751">
        <w:t>Quality Assurance (QA) program requirements for blood processing and coagulation, including:</w:t>
      </w:r>
    </w:p>
    <w:p w:rsidR="00000000" w:rsidRPr="00440751" w:rsidP="00440751">
      <w:pPr>
        <w:pStyle w:val="ListBullet2"/>
      </w:pPr>
      <w:r w:rsidRPr="00440751">
        <w:t>labelling and traceability</w:t>
      </w:r>
    </w:p>
    <w:p w:rsidR="00000000" w:rsidRPr="00440751" w:rsidP="00440751">
      <w:pPr>
        <w:pStyle w:val="ListBullet2"/>
      </w:pPr>
      <w:r w:rsidRPr="00440751">
        <w:t>cleaning equipment, with water and approved chemicals.</w:t>
      </w:r>
    </w:p>
    <w:p w:rsidR="00000000" w:rsidRPr="00440751" w:rsidP="00440751">
      <w:pPr>
        <w:pStyle w:val="AllowPageBreak"/>
      </w:pPr>
    </w:p>
    <w:p w:rsidR="00000000" w:rsidRPr="00440751" w:rsidP="00440751">
      <w:pPr>
        <w:pStyle w:val="Heading1"/>
      </w:pPr>
      <w:bookmarkStart w:id="4" w:name="O_1202587"/>
      <w:bookmarkEnd w:id="4"/>
      <w:r w:rsidRPr="00440751">
        <w:t>Assessment Conditions</w:t>
      </w:r>
    </w:p>
    <w:p w:rsidR="00000000" w:rsidRPr="00440751" w:rsidP="007A4354">
      <w:pPr>
        <w:pStyle w:val="BodyText"/>
      </w:pPr>
      <w:r w:rsidRPr="00440751">
        <w:t xml:space="preserve">Assessment of the skills in this unit of competency must take place under the following conditions: </w:t>
      </w:r>
    </w:p>
    <w:p w:rsidR="00000000" w:rsidRPr="00440751" w:rsidP="00440751">
      <w:pPr>
        <w:pStyle w:val="ListBullet"/>
      </w:pPr>
      <w:r w:rsidRPr="00440751">
        <w:t>physical conditions:</w:t>
      </w:r>
    </w:p>
    <w:p w:rsidR="00000000" w:rsidRPr="00440751" w:rsidP="00440751">
      <w:pPr>
        <w:pStyle w:val="ListBullet2"/>
      </w:pPr>
      <w:r w:rsidRPr="00440751">
        <w:t>skills must be demonstrated in a blo</w:t>
      </w:r>
      <w:r w:rsidRPr="00440751">
        <w:t>od processing plant or an environment that accurately represents workplace conditions</w:t>
      </w:r>
    </w:p>
    <w:p w:rsidR="00000000" w:rsidRPr="00440751" w:rsidP="00440751">
      <w:pPr>
        <w:pStyle w:val="ListBullet"/>
      </w:pPr>
      <w:r w:rsidRPr="00440751">
        <w:t>resources, equipment and materials:</w:t>
      </w:r>
    </w:p>
    <w:p w:rsidR="00000000" w:rsidRPr="00440751" w:rsidP="00440751">
      <w:pPr>
        <w:pStyle w:val="ListBullet2"/>
      </w:pPr>
      <w:r w:rsidRPr="00440751">
        <w:t>equipment for blood coagulation and drying processing tasks specified in the performance evidence</w:t>
      </w:r>
    </w:p>
    <w:p w:rsidR="00000000" w:rsidRPr="00440751" w:rsidP="00440751">
      <w:pPr>
        <w:pStyle w:val="ListBullet"/>
      </w:pPr>
      <w:r w:rsidRPr="00440751">
        <w:t>specifications:</w:t>
      </w:r>
    </w:p>
    <w:p w:rsidR="00000000" w:rsidRPr="00440751" w:rsidP="00440751">
      <w:pPr>
        <w:pStyle w:val="ListBullet2"/>
      </w:pPr>
      <w:r w:rsidRPr="00440751">
        <w:t>two blood coagul</w:t>
      </w:r>
      <w:r w:rsidRPr="00440751">
        <w:t>ation and drying process work orders stipulated in the performance evidence</w:t>
      </w:r>
    </w:p>
    <w:p w:rsidR="00000000" w:rsidRPr="00440751" w:rsidP="00440751">
      <w:pPr>
        <w:pStyle w:val="ListBullet2"/>
      </w:pPr>
      <w:r w:rsidRPr="00440751">
        <w:t>workplace procedures for a blood coagulation and drying process and operation of machinery and equipment stipulated in the performance evidence</w:t>
      </w:r>
    </w:p>
    <w:p w:rsidR="00000000" w:rsidRPr="00440751" w:rsidP="00440751">
      <w:pPr>
        <w:pStyle w:val="ListBullet2"/>
      </w:pPr>
      <w:r w:rsidRPr="00440751">
        <w:t>workplace procedures for worker safe</w:t>
      </w:r>
      <w:r w:rsidRPr="00440751">
        <w:t>ty and contamination control</w:t>
      </w:r>
    </w:p>
    <w:p w:rsidR="00000000" w:rsidRPr="00440751" w:rsidP="00440751">
      <w:pPr>
        <w:pStyle w:val="ListBullet2"/>
      </w:pPr>
      <w:r w:rsidRPr="00440751">
        <w:t>specific workplace documents such as workplace procedures and QA system</w:t>
      </w:r>
    </w:p>
    <w:p w:rsidR="00000000" w:rsidRPr="00440751" w:rsidP="00440751">
      <w:pPr>
        <w:pStyle w:val="ListBullet2"/>
      </w:pPr>
      <w:r w:rsidRPr="00440751">
        <w:t>manufacturer operating instructions for blood coagulation and drying equipment.</w:t>
      </w:r>
    </w:p>
    <w:p w:rsidR="00000000" w:rsidRPr="00440751" w:rsidP="007A4354">
      <w:pPr>
        <w:pStyle w:val="BodyText"/>
      </w:pPr>
      <w:r w:rsidRPr="00440751">
        <w:t>Assessors of this unit must satisfy the requirements for assessors in applicable vocational education and training legislation, frameworks and/or standards.</w:t>
      </w:r>
    </w:p>
    <w:p w:rsidR="00000000" w:rsidRPr="00440751" w:rsidP="00440751">
      <w:pPr>
        <w:pStyle w:val="Heading1"/>
      </w:pPr>
      <w:bookmarkStart w:id="5" w:name="O_1202590"/>
      <w:bookmarkEnd w:id="5"/>
      <w:r w:rsidRPr="00440751">
        <w:t>Links</w:t>
      </w:r>
    </w:p>
    <w:p w:rsidR="00000000" w:rsidRPr="00440751" w:rsidP="007A4354">
      <w:pPr>
        <w:pStyle w:val="BodyText"/>
      </w:pPr>
      <w:r w:rsidRPr="00440751">
        <w:t>Companion Volumes, including Implementation Guides, are available at VETNe</w:t>
      </w:r>
      <w:r w:rsidRPr="00440751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760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40751" w:rsidP="00440751"/>
    <w:sectPr w:rsidSect="004407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51" w:rsidRPr="007A4354" w:rsidP="007A4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354" w:rsidP="00440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354" w:rsidP="00440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4354" w:rsidP="00440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751" w:rsidRPr="007A4354" w:rsidP="007A4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354" w:rsidRPr="002D2AF8" w:rsidP="00440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AMPREN305 Operate a blood coagulation and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A4354" w:rsidP="00440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809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0A8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BAB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751"/>
  </w:style>
  <w:style w:type="character" w:customStyle="1" w:styleId="Heading1Char">
    <w:name w:val="Heading 1 Char"/>
    <w:basedOn w:val="DefaultParagraphFont"/>
    <w:link w:val="Heading1"/>
    <w:rsid w:val="00440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7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07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0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0751"/>
    <w:rPr>
      <w:b/>
    </w:rPr>
  </w:style>
  <w:style w:type="character" w:customStyle="1" w:styleId="Heading2Char">
    <w:name w:val="Heading 2 Char"/>
    <w:basedOn w:val="DefaultParagraphFont"/>
    <w:link w:val="Heading2"/>
    <w:rsid w:val="00440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0751"/>
    <w:rPr>
      <w:b/>
      <w:spacing w:val="0"/>
    </w:rPr>
  </w:style>
  <w:style w:type="paragraph" w:customStyle="1" w:styleId="SuperTitle">
    <w:name w:val="SuperTitle"/>
    <w:basedOn w:val="Title"/>
    <w:rsid w:val="00440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751"/>
    <w:rPr>
      <w:i/>
    </w:rPr>
  </w:style>
  <w:style w:type="paragraph" w:styleId="Caption">
    <w:name w:val="caption"/>
    <w:basedOn w:val="BodyText"/>
    <w:next w:val="Normal"/>
    <w:qFormat/>
    <w:rsid w:val="00440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751"/>
  </w:style>
  <w:style w:type="paragraph" w:styleId="TableofFigures">
    <w:name w:val="table of figures"/>
    <w:basedOn w:val="Normal"/>
    <w:next w:val="Normal"/>
    <w:semiHidden/>
    <w:rsid w:val="00440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7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751"/>
    <w:rPr>
      <w:rFonts w:ascii="Wingdings" w:hAnsi="Wingdings"/>
    </w:rPr>
  </w:style>
  <w:style w:type="paragraph" w:customStyle="1" w:styleId="TableHeading">
    <w:name w:val="Table Heading"/>
    <w:basedOn w:val="HeadingBase"/>
    <w:rsid w:val="00440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751"/>
    <w:rPr>
      <w:color w:val="0033CC"/>
      <w:u w:val="none"/>
    </w:rPr>
  </w:style>
  <w:style w:type="paragraph" w:customStyle="1" w:styleId="BodyTextRight">
    <w:name w:val="Body Text Right"/>
    <w:basedOn w:val="BodyText"/>
    <w:rsid w:val="00440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7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751"/>
    <w:rPr>
      <w:sz w:val="32"/>
    </w:rPr>
  </w:style>
  <w:style w:type="paragraph" w:customStyle="1" w:styleId="HeadingProcedure">
    <w:name w:val="Heading Procedure"/>
    <w:basedOn w:val="HeadingBase"/>
    <w:next w:val="Normal"/>
    <w:rsid w:val="00440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751"/>
    <w:pPr>
      <w:spacing w:before="60" w:after="60"/>
    </w:pPr>
  </w:style>
  <w:style w:type="paragraph" w:styleId="ListContinue">
    <w:name w:val="List Continue"/>
    <w:basedOn w:val="List"/>
    <w:rsid w:val="00440751"/>
    <w:pPr>
      <w:ind w:firstLine="0"/>
    </w:pPr>
  </w:style>
  <w:style w:type="paragraph" w:customStyle="1" w:styleId="ListNote">
    <w:name w:val="List Note"/>
    <w:basedOn w:val="List"/>
    <w:rsid w:val="00440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751"/>
    <w:rPr>
      <w:rFonts w:ascii="Courier New" w:hAnsi="Courier New"/>
    </w:rPr>
  </w:style>
  <w:style w:type="paragraph" w:customStyle="1" w:styleId="NoteBullet">
    <w:name w:val="Note Bullet"/>
    <w:basedOn w:val="Note"/>
    <w:rsid w:val="00440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751"/>
    <w:rPr>
      <w:b/>
      <w:smallCaps/>
    </w:rPr>
  </w:style>
  <w:style w:type="paragraph" w:customStyle="1" w:styleId="TableListNumber">
    <w:name w:val="Table List Number"/>
    <w:basedOn w:val="ListNumber"/>
    <w:rsid w:val="00440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751"/>
    <w:pPr>
      <w:numPr>
        <w:numId w:val="9"/>
      </w:numPr>
    </w:pPr>
  </w:style>
  <w:style w:type="paragraph" w:customStyle="1" w:styleId="ListAlpha2">
    <w:name w:val="List Alpha 2"/>
    <w:basedOn w:val="List2"/>
    <w:rsid w:val="00440751"/>
    <w:pPr>
      <w:numPr>
        <w:numId w:val="8"/>
      </w:numPr>
    </w:pPr>
  </w:style>
  <w:style w:type="paragraph" w:styleId="List2">
    <w:name w:val="List 2"/>
    <w:basedOn w:val="BodyText"/>
    <w:rsid w:val="00440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7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751"/>
    <w:pPr>
      <w:numPr>
        <w:numId w:val="4"/>
      </w:numPr>
    </w:pPr>
  </w:style>
  <w:style w:type="paragraph" w:styleId="ListContinue2">
    <w:name w:val="List Continue 2"/>
    <w:basedOn w:val="List2"/>
    <w:rsid w:val="00440751"/>
    <w:pPr>
      <w:ind w:firstLine="0"/>
    </w:pPr>
  </w:style>
  <w:style w:type="paragraph" w:styleId="ListContinue3">
    <w:name w:val="List Continue 3"/>
    <w:basedOn w:val="List3"/>
    <w:rsid w:val="00440751"/>
    <w:pPr>
      <w:ind w:left="1021" w:firstLine="0"/>
    </w:pPr>
  </w:style>
  <w:style w:type="paragraph" w:styleId="ListContinue4">
    <w:name w:val="List Continue 4"/>
    <w:basedOn w:val="List4"/>
    <w:rsid w:val="00440751"/>
    <w:pPr>
      <w:ind w:firstLine="0"/>
    </w:pPr>
  </w:style>
  <w:style w:type="paragraph" w:styleId="ListContinue5">
    <w:name w:val="List Continue 5"/>
    <w:basedOn w:val="List5"/>
    <w:rsid w:val="00440751"/>
    <w:pPr>
      <w:ind w:firstLine="0"/>
    </w:pPr>
  </w:style>
  <w:style w:type="paragraph" w:styleId="ListNumber3">
    <w:name w:val="List Number 3"/>
    <w:basedOn w:val="List3"/>
    <w:rsid w:val="00440751"/>
    <w:pPr>
      <w:numPr>
        <w:numId w:val="5"/>
      </w:numPr>
    </w:pPr>
  </w:style>
  <w:style w:type="paragraph" w:styleId="ListNumber4">
    <w:name w:val="List Number 4"/>
    <w:basedOn w:val="List4"/>
    <w:rsid w:val="00440751"/>
    <w:pPr>
      <w:numPr>
        <w:numId w:val="6"/>
      </w:numPr>
    </w:pPr>
  </w:style>
  <w:style w:type="paragraph" w:styleId="ListNumber5">
    <w:name w:val="List Number 5"/>
    <w:basedOn w:val="List5"/>
    <w:rsid w:val="00440751"/>
    <w:pPr>
      <w:numPr>
        <w:numId w:val="7"/>
      </w:numPr>
    </w:pPr>
  </w:style>
  <w:style w:type="paragraph" w:styleId="BlockText">
    <w:name w:val="Block Text"/>
    <w:basedOn w:val="Normal"/>
    <w:rsid w:val="00440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751"/>
    <w:rPr>
      <w:sz w:val="16"/>
      <w:vertAlign w:val="superscript"/>
    </w:rPr>
  </w:style>
  <w:style w:type="character" w:customStyle="1" w:styleId="Symbols">
    <w:name w:val="Symbols"/>
    <w:basedOn w:val="DefaultParagraphFont"/>
    <w:rsid w:val="00440751"/>
    <w:rPr>
      <w:rFonts w:ascii="Symbol" w:hAnsi="Symbol"/>
    </w:rPr>
  </w:style>
  <w:style w:type="character" w:customStyle="1" w:styleId="MenuOptions">
    <w:name w:val="Menu Options"/>
    <w:basedOn w:val="DefaultParagraphFont"/>
    <w:rsid w:val="00440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751"/>
    <w:rPr>
      <w:b/>
    </w:rPr>
  </w:style>
  <w:style w:type="character" w:customStyle="1" w:styleId="Underlined">
    <w:name w:val="Underlined"/>
    <w:basedOn w:val="DefaultParagraphFont"/>
    <w:rsid w:val="00440751"/>
    <w:rPr>
      <w:u w:val="single"/>
    </w:rPr>
  </w:style>
  <w:style w:type="paragraph" w:customStyle="1" w:styleId="TableBodyTextRight">
    <w:name w:val="Table Body Text Right"/>
    <w:basedOn w:val="TableBodyText"/>
    <w:rsid w:val="00440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751"/>
    <w:rPr>
      <w:sz w:val="18"/>
    </w:rPr>
  </w:style>
  <w:style w:type="paragraph" w:customStyle="1" w:styleId="BodySmallRight">
    <w:name w:val="Body Small Right"/>
    <w:basedOn w:val="BodyTextRight"/>
    <w:rsid w:val="00440751"/>
    <w:rPr>
      <w:sz w:val="18"/>
      <w:szCs w:val="18"/>
    </w:rPr>
  </w:style>
  <w:style w:type="paragraph" w:customStyle="1" w:styleId="MarginEdition">
    <w:name w:val="Margin Edition"/>
    <w:basedOn w:val="MarginNote"/>
    <w:rsid w:val="00440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751"/>
    <w:rPr>
      <w:sz w:val="2"/>
      <w:szCs w:val="2"/>
    </w:rPr>
  </w:style>
  <w:style w:type="character" w:customStyle="1" w:styleId="Small">
    <w:name w:val="Small"/>
    <w:basedOn w:val="DefaultParagraphFont"/>
    <w:rsid w:val="00440751"/>
    <w:rPr>
      <w:sz w:val="16"/>
    </w:rPr>
  </w:style>
  <w:style w:type="paragraph" w:customStyle="1" w:styleId="WideTable">
    <w:name w:val="Wide Table"/>
    <w:basedOn w:val="Normal"/>
    <w:rsid w:val="00440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751"/>
  </w:style>
  <w:style w:type="paragraph" w:styleId="Quote">
    <w:name w:val="Quote"/>
    <w:basedOn w:val="Heading1"/>
    <w:link w:val="QuoteChar"/>
    <w:qFormat/>
    <w:rsid w:val="00440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751"/>
    <w:pPr>
      <w:pageBreakBefore/>
    </w:pPr>
  </w:style>
  <w:style w:type="paragraph" w:customStyle="1" w:styleId="Border">
    <w:name w:val="Border"/>
    <w:basedOn w:val="Normal"/>
    <w:qFormat/>
    <w:rsid w:val="00440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751"/>
    <w:rPr>
      <w:u w:val="single"/>
    </w:rPr>
  </w:style>
  <w:style w:type="character" w:customStyle="1" w:styleId="BoldandItalics">
    <w:name w:val="Bold and Italics"/>
    <w:qFormat/>
    <w:rsid w:val="00440751"/>
    <w:rPr>
      <w:b/>
      <w:i/>
      <w:u w:val="none"/>
    </w:rPr>
  </w:style>
  <w:style w:type="paragraph" w:styleId="BalloonText">
    <w:name w:val="Balloon Text"/>
    <w:basedOn w:val="Normal"/>
    <w:link w:val="BalloonTextChar"/>
    <w:rsid w:val="00440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7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4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4519</Characters>
  <Application>Microsoft Office Word</Application>
  <DocSecurity>0</DocSecurity>
  <Lines>112</Lines>
  <Paragraphs>84</Paragraphs>
  <ScaleCrop>false</ScaleCrop>
  <Company>Author-it Software Corporation Ltd.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AMPREN305 Operate a blood coagulation and drying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2023-01-24T11:35:00Z</dcterms:modified>
</cp:coreProperties>
</file>