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1C59" w:rsidP="009F1C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AMPREN302 Operate and monitor a continuous dry rendering process</w:t>
      </w:r>
      <w:r>
        <w:fldChar w:fldCharType="end"/>
      </w:r>
    </w:p>
    <w:p w:rsidR="009F1C59" w:rsidP="009F1C59">
      <w:pPr>
        <w:pStyle w:val="Version"/>
        <w:sectPr w:rsidSect="00A452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5216" w:rsidP="00A45216">
      <w:pPr>
        <w:pStyle w:val="SuperHeading"/>
      </w:pPr>
      <w:r w:rsidRPr="00A45216">
        <w:t>AMPREN302 Operate and monitor a continuous dry rendering process</w:t>
      </w:r>
    </w:p>
    <w:p w:rsidR="00000000" w:rsidRPr="00A45216" w:rsidP="00A45216">
      <w:pPr>
        <w:pStyle w:val="Heading1"/>
      </w:pPr>
      <w:bookmarkStart w:id="1" w:name="O_1202517"/>
      <w:bookmarkEnd w:id="1"/>
      <w:r w:rsidRPr="00A4521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452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216">
            <w:pPr>
              <w:pStyle w:val="BodyTextBold"/>
              <w:rPr>
                <w:lang w:val="en-NZ"/>
              </w:rPr>
            </w:pPr>
            <w:r w:rsidRPr="00A4521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216">
            <w:pPr>
              <w:pStyle w:val="BodyTextBold"/>
              <w:rPr>
                <w:lang w:val="en-NZ"/>
              </w:rPr>
            </w:pPr>
            <w:r w:rsidRPr="00A45216">
              <w:t>Comments</w:t>
            </w:r>
          </w:p>
        </w:tc>
      </w:tr>
      <w:tr w:rsidTr="00A452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216">
            <w:pPr>
              <w:pStyle w:val="BodyText"/>
              <w:rPr>
                <w:lang w:val="en-NZ"/>
              </w:rPr>
            </w:pPr>
            <w:r w:rsidRPr="00A4521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216" w:rsidP="00A45216">
            <w:pPr>
              <w:pStyle w:val="BodyText"/>
            </w:pPr>
            <w:r w:rsidRPr="00A45216">
              <w:t>This version released with AMP Australian Meat Processing Training Package Version 7.0.</w:t>
            </w:r>
          </w:p>
        </w:tc>
      </w:tr>
    </w:tbl>
    <w:p w:rsidR="00000000" w:rsidRPr="00A45216" w:rsidP="00A45216">
      <w:pPr>
        <w:pStyle w:val="BodyText"/>
      </w:pPr>
    </w:p>
    <w:p w:rsidR="00000000" w:rsidRPr="00A45216" w:rsidP="00A45216">
      <w:pPr>
        <w:pStyle w:val="AllowPageBreak"/>
      </w:pPr>
    </w:p>
    <w:p w:rsidR="00000000" w:rsidRPr="00A45216" w:rsidP="00A45216">
      <w:pPr>
        <w:pStyle w:val="Heading1"/>
      </w:pPr>
      <w:bookmarkStart w:id="2" w:name="O_1202518"/>
      <w:bookmarkEnd w:id="2"/>
      <w:r w:rsidRPr="00A45216">
        <w:t>Application</w:t>
      </w:r>
    </w:p>
    <w:p w:rsidR="00000000" w:rsidRPr="00A45216" w:rsidP="009F1C59">
      <w:pPr>
        <w:pStyle w:val="BodyText"/>
      </w:pPr>
      <w:r w:rsidRPr="00A45216">
        <w:t xml:space="preserve">This unit describes the skills and knowledge required to operate and monitor a continuous dry rendering process including loading raw material, operation, monitoring and shut down. </w:t>
      </w:r>
    </w:p>
    <w:p w:rsidR="00000000" w:rsidRPr="00A45216" w:rsidP="009F1C59">
      <w:pPr>
        <w:pStyle w:val="BodyText"/>
      </w:pPr>
      <w:r w:rsidRPr="00A45216">
        <w:t>This unit applies to individuals who work under broad direction in an indu</w:t>
      </w:r>
      <w:r w:rsidRPr="00A45216">
        <w:t>strial meat rendering plant and who are responsible for operating and monitoring a continuous dry rendering process. They provide and communicate solutions to a range of predictable problems.</w:t>
      </w:r>
    </w:p>
    <w:p w:rsidR="00000000" w:rsidRPr="00A45216" w:rsidP="009F1C59">
      <w:pPr>
        <w:pStyle w:val="BodyText"/>
      </w:pPr>
      <w:r w:rsidRPr="00A45216">
        <w:t>All work must be carried out to comply with workplace procedures</w:t>
      </w:r>
      <w:r w:rsidRPr="00A45216">
        <w:t xml:space="preserve">, according to state/territory health and safety, environmental and meat rendering regulations, legislation and standards that apply to the workplace. </w:t>
      </w:r>
    </w:p>
    <w:p w:rsidR="00000000" w:rsidRPr="00A45216" w:rsidP="009F1C59">
      <w:pPr>
        <w:pStyle w:val="BodyText"/>
      </w:pPr>
      <w:r w:rsidRPr="00A45216">
        <w:t>No licensing, legislative or certification requirements apply to this unit at the time of publication.</w:t>
      </w:r>
    </w:p>
    <w:p w:rsidR="00000000" w:rsidRPr="00A45216" w:rsidP="00A45216">
      <w:pPr>
        <w:pStyle w:val="Heading1"/>
      </w:pPr>
      <w:bookmarkStart w:id="3" w:name="O_1202519"/>
      <w:bookmarkEnd w:id="3"/>
      <w:r w:rsidRPr="00A45216">
        <w:t>Pre-requisite Unit</w:t>
      </w:r>
    </w:p>
    <w:p w:rsidR="00000000" w:rsidRPr="00A45216" w:rsidP="009F1C59">
      <w:pPr>
        <w:pStyle w:val="BodyText"/>
      </w:pPr>
      <w:r w:rsidRPr="00A45216">
        <w:t>Nil</w:t>
      </w:r>
    </w:p>
    <w:p w:rsidR="00000000" w:rsidRPr="00A45216" w:rsidP="00A45216">
      <w:pPr>
        <w:pStyle w:val="Heading1"/>
      </w:pPr>
      <w:bookmarkStart w:id="4" w:name="O_1202521"/>
      <w:bookmarkEnd w:id="4"/>
      <w:r w:rsidRPr="00A45216">
        <w:t>Unit Sector</w:t>
      </w:r>
    </w:p>
    <w:p w:rsidR="00000000" w:rsidRPr="00A45216" w:rsidP="009F1C59">
      <w:pPr>
        <w:pStyle w:val="BodyText"/>
      </w:pPr>
      <w:r w:rsidRPr="00A45216">
        <w:t>Rendering (REN)</w:t>
      </w:r>
    </w:p>
    <w:p w:rsidR="00000000" w:rsidRPr="00A45216" w:rsidP="00A45216">
      <w:pPr>
        <w:pStyle w:val="Heading1"/>
      </w:pPr>
      <w:bookmarkStart w:id="5" w:name="O_1202522"/>
      <w:bookmarkEnd w:id="5"/>
      <w:r w:rsidRPr="00A4521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F1C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216">
            <w:pPr>
              <w:pStyle w:val="BodyTextBold"/>
              <w:rPr>
                <w:lang w:val="en-NZ"/>
              </w:rPr>
            </w:pPr>
            <w:r w:rsidRPr="00A4521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216">
            <w:pPr>
              <w:pStyle w:val="BodyTextBold"/>
              <w:rPr>
                <w:lang w:val="en-NZ"/>
              </w:rPr>
            </w:pPr>
            <w:r w:rsidRPr="00A45216">
              <w:t>Performance Criteria</w:t>
            </w:r>
          </w:p>
        </w:tc>
      </w:tr>
      <w:tr w:rsidTr="009F1C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216">
            <w:pPr>
              <w:pStyle w:val="BodyText"/>
              <w:rPr>
                <w:lang w:val="en-NZ"/>
              </w:rPr>
            </w:pPr>
            <w:r w:rsidRPr="00A45216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216">
            <w:pPr>
              <w:pStyle w:val="BodyText"/>
              <w:rPr>
                <w:lang w:val="en-NZ"/>
              </w:rPr>
            </w:pPr>
            <w:r w:rsidRPr="00A45216">
              <w:t>Performance criteria describe the performance needed to demonstrate achievement of the element.</w:t>
            </w:r>
          </w:p>
        </w:tc>
      </w:tr>
      <w:tr w:rsidTr="009F1C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216">
            <w:pPr>
              <w:pStyle w:val="BodyText"/>
              <w:rPr>
                <w:lang w:val="en-NZ"/>
              </w:rPr>
            </w:pPr>
            <w:r w:rsidRPr="00A45216">
              <w:t>1. Prepare to feed cooker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216" w:rsidP="00A45216">
            <w:pPr>
              <w:pStyle w:val="BodyText"/>
            </w:pPr>
            <w:r w:rsidRPr="00A45216">
              <w:t xml:space="preserve">1.1 Confirm product specifications and set cooker parameters </w:t>
            </w:r>
          </w:p>
          <w:p w:rsidR="00000000" w:rsidRPr="00A45216" w:rsidP="00A45216">
            <w:pPr>
              <w:pStyle w:val="BodyText"/>
            </w:pPr>
            <w:r w:rsidRPr="00A45216">
              <w:t>1.2 Identify hazards, assess and control risks according to workplace h</w:t>
            </w:r>
            <w:r w:rsidRPr="00A45216">
              <w:t xml:space="preserve">ealth and safety procedures </w:t>
            </w:r>
          </w:p>
          <w:p w:rsidR="00000000" w:rsidRPr="00A45216" w:rsidP="00A45216">
            <w:pPr>
              <w:pStyle w:val="BodyText"/>
            </w:pPr>
            <w:r w:rsidRPr="00A45216">
              <w:t>1.3 Identify food safety hazards, assess and control risks according to Hazard Analysis and Critical Control Point principles</w:t>
            </w:r>
          </w:p>
          <w:p w:rsidR="00000000" w:rsidRPr="00A45216" w:rsidP="00A45216">
            <w:pPr>
              <w:pStyle w:val="BodyText"/>
            </w:pPr>
            <w:r w:rsidRPr="00A45216">
              <w:t>1.4 Select and fit personal protective equipment and contamination control clothing</w:t>
            </w:r>
          </w:p>
          <w:p w:rsidR="00000000" w:rsidRPr="00A45216" w:rsidP="00A45216">
            <w:pPr>
              <w:pStyle w:val="BodyText"/>
            </w:pPr>
            <w:r w:rsidRPr="00A45216">
              <w:t>1.5 Undertake preoperational checks of machinery and equipment according to workplace procedures and/or manufacturer requirements</w:t>
            </w:r>
          </w:p>
          <w:p w:rsidR="00000000" w:rsidRPr="00A45216" w:rsidP="00A45216">
            <w:pPr>
              <w:pStyle w:val="BodyText"/>
            </w:pPr>
            <w:r w:rsidRPr="00A45216">
              <w:t>1.6 Clean and sanitise tools and equipment according to contamination control</w:t>
            </w:r>
          </w:p>
          <w:p w:rsidR="00000000" w:rsidP="00A45216">
            <w:pPr>
              <w:pStyle w:val="BodyText"/>
              <w:rPr>
                <w:lang w:val="en-NZ"/>
              </w:rPr>
            </w:pPr>
            <w:r w:rsidRPr="00A45216">
              <w:t xml:space="preserve">1.7 Load raw materials into cooker according to </w:t>
            </w:r>
            <w:r w:rsidRPr="00A45216">
              <w:t>safety and contamination control requirements</w:t>
            </w:r>
          </w:p>
        </w:tc>
      </w:tr>
      <w:tr w:rsidTr="009F1C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216">
            <w:pPr>
              <w:pStyle w:val="BodyText"/>
              <w:rPr>
                <w:lang w:val="en-NZ"/>
              </w:rPr>
            </w:pPr>
            <w:r w:rsidRPr="00A45216">
              <w:t>2. Operate and monitor cooker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216" w:rsidP="00A45216">
            <w:pPr>
              <w:pStyle w:val="BodyText"/>
            </w:pPr>
            <w:r w:rsidRPr="00A45216">
              <w:t>2.1 Start up cooker according to workplace procedures</w:t>
            </w:r>
          </w:p>
          <w:p w:rsidR="00000000" w:rsidRPr="00A45216" w:rsidP="00A45216">
            <w:pPr>
              <w:pStyle w:val="BodyText"/>
            </w:pPr>
            <w:r w:rsidRPr="00A45216">
              <w:t>2.2 Monitor flow into cooker and check levels</w:t>
            </w:r>
          </w:p>
          <w:p w:rsidR="00000000" w:rsidRPr="00A45216" w:rsidP="00A45216">
            <w:pPr>
              <w:pStyle w:val="BodyText"/>
            </w:pPr>
            <w:r w:rsidRPr="00A45216">
              <w:t>2.3 Adjust temperature according to product requirements</w:t>
            </w:r>
          </w:p>
          <w:p w:rsidR="00000000" w:rsidRPr="00A45216" w:rsidP="00A45216">
            <w:pPr>
              <w:pStyle w:val="BodyText"/>
            </w:pPr>
            <w:r w:rsidRPr="00A45216">
              <w:t>2.4 Monitor and adjust</w:t>
            </w:r>
            <w:r w:rsidRPr="00A45216">
              <w:t xml:space="preserve"> outflow according to workplace requirements </w:t>
            </w:r>
          </w:p>
          <w:p w:rsidR="00000000" w:rsidRPr="00A45216" w:rsidP="00A45216">
            <w:pPr>
              <w:pStyle w:val="BodyText"/>
            </w:pPr>
            <w:r w:rsidRPr="00A45216">
              <w:t>2.5 Separate solid material from tallow according to workplace procedures</w:t>
            </w:r>
          </w:p>
          <w:p w:rsidR="00000000" w:rsidRPr="00A45216" w:rsidP="00A45216">
            <w:pPr>
              <w:pStyle w:val="BodyText"/>
            </w:pPr>
            <w:r w:rsidRPr="00A45216">
              <w:t xml:space="preserve">2.6 Operate meat meal size reduction equipment according to manufacturer instructions </w:t>
            </w:r>
          </w:p>
          <w:p w:rsidR="00000000" w:rsidP="00A45216">
            <w:pPr>
              <w:pStyle w:val="BodyText"/>
              <w:rPr>
                <w:lang w:val="en-NZ"/>
              </w:rPr>
            </w:pPr>
            <w:r w:rsidRPr="00A45216">
              <w:t>2.7 Take samples and test batch to ensure it is r</w:t>
            </w:r>
            <w:r w:rsidRPr="00A45216">
              <w:t>endered to specification</w:t>
            </w:r>
          </w:p>
        </w:tc>
      </w:tr>
      <w:tr w:rsidTr="009F1C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216">
            <w:pPr>
              <w:pStyle w:val="BodyText"/>
              <w:rPr>
                <w:lang w:val="en-NZ"/>
              </w:rPr>
            </w:pPr>
            <w:r w:rsidRPr="00A45216">
              <w:t>3. Monitor environmental controls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216" w:rsidP="00A45216">
            <w:pPr>
              <w:pStyle w:val="BodyText"/>
            </w:pPr>
            <w:r w:rsidRPr="00A45216">
              <w:t xml:space="preserve">3.1 Monitor vapours to ensure they are condensed according to regulatory requirements </w:t>
            </w:r>
          </w:p>
          <w:p w:rsidR="00000000" w:rsidRPr="00A45216" w:rsidP="00A45216">
            <w:pPr>
              <w:pStyle w:val="BodyText"/>
            </w:pPr>
            <w:r w:rsidRPr="00A45216">
              <w:t>3.2 Monitor non-condensed emissions to scrubber, bio-filter and/or after burner according to regulatory requi</w:t>
            </w:r>
            <w:r w:rsidRPr="00A45216">
              <w:t>rements</w:t>
            </w:r>
          </w:p>
          <w:p w:rsidR="00000000" w:rsidP="00A45216">
            <w:pPr>
              <w:pStyle w:val="BodyText"/>
              <w:rPr>
                <w:lang w:val="en-NZ"/>
              </w:rPr>
            </w:pPr>
            <w:r w:rsidRPr="00A45216">
              <w:t>3.3 Monitor waste water discharge according to workplace procedures</w:t>
            </w:r>
          </w:p>
        </w:tc>
      </w:tr>
      <w:tr w:rsidTr="009F1C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216">
            <w:pPr>
              <w:pStyle w:val="BodyText"/>
              <w:rPr>
                <w:lang w:val="en-NZ"/>
              </w:rPr>
            </w:pPr>
            <w:r w:rsidRPr="00A45216">
              <w:t>4. Shut down continuous rendering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216" w:rsidP="00A45216">
            <w:pPr>
              <w:pStyle w:val="BodyText"/>
            </w:pPr>
            <w:r w:rsidRPr="00A45216">
              <w:t>4.1 Clean rendering equipment and report maintenance requirements</w:t>
            </w:r>
          </w:p>
          <w:p w:rsidR="00000000" w:rsidRPr="00A45216" w:rsidP="00A45216">
            <w:pPr>
              <w:pStyle w:val="BodyText"/>
            </w:pPr>
            <w:r w:rsidRPr="00A45216">
              <w:t>4.2 Identify the appropriate shutdown procedure</w:t>
            </w:r>
          </w:p>
          <w:p w:rsidR="00000000" w:rsidRPr="00A45216" w:rsidP="00A45216">
            <w:pPr>
              <w:pStyle w:val="BodyText"/>
            </w:pPr>
            <w:r w:rsidRPr="00A45216">
              <w:t>4.3 Shut the process do</w:t>
            </w:r>
            <w:r w:rsidRPr="00A45216">
              <w:t>wn safely according to operating procedures</w:t>
            </w:r>
          </w:p>
          <w:p w:rsidR="00000000" w:rsidRPr="00A45216" w:rsidP="00A45216">
            <w:pPr>
              <w:pStyle w:val="BodyText"/>
            </w:pPr>
            <w:r w:rsidRPr="00A45216">
              <w:t>4.4 Identify and report maintenance requirements in line with workplace procedures</w:t>
            </w:r>
          </w:p>
          <w:p w:rsidR="00000000" w:rsidRPr="00A45216" w:rsidP="00A45216">
            <w:pPr>
              <w:pStyle w:val="BodyText"/>
            </w:pPr>
            <w:r w:rsidRPr="00A45216">
              <w:t>4.5 Maintain workplace records in appropriate format</w:t>
            </w:r>
          </w:p>
        </w:tc>
      </w:tr>
    </w:tbl>
    <w:p w:rsidR="00000000" w:rsidRPr="00A45216" w:rsidP="00A45216">
      <w:pPr>
        <w:pStyle w:val="BodyText"/>
      </w:pPr>
    </w:p>
    <w:p w:rsidR="00000000" w:rsidRPr="00A45216" w:rsidP="00A45216">
      <w:pPr>
        <w:pStyle w:val="AllowPageBreak"/>
      </w:pPr>
    </w:p>
    <w:p w:rsidR="00000000" w:rsidRPr="00A45216" w:rsidP="00A45216">
      <w:pPr>
        <w:pStyle w:val="Heading1"/>
      </w:pPr>
      <w:bookmarkStart w:id="6" w:name="O_1202523"/>
      <w:bookmarkEnd w:id="6"/>
      <w:r w:rsidRPr="00A45216">
        <w:t>Foundation Skills</w:t>
      </w:r>
    </w:p>
    <w:p w:rsidR="00000000" w:rsidRPr="009F1C59" w:rsidP="009F1C59">
      <w:pPr>
        <w:pStyle w:val="BodyText"/>
        <w:rPr>
          <w:i/>
        </w:rPr>
      </w:pPr>
      <w:r w:rsidRPr="009F1C5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452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216">
            <w:pPr>
              <w:pStyle w:val="BodyTextBold"/>
              <w:rPr>
                <w:lang w:val="en-NZ"/>
              </w:rPr>
            </w:pPr>
            <w:r w:rsidRPr="00A4521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216">
            <w:pPr>
              <w:pStyle w:val="BodyTextBold"/>
              <w:rPr>
                <w:lang w:val="en-NZ"/>
              </w:rPr>
            </w:pPr>
            <w:r w:rsidRPr="00A45216">
              <w:t>Description</w:t>
            </w:r>
          </w:p>
        </w:tc>
      </w:tr>
      <w:tr w:rsidTr="00A452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216">
            <w:pPr>
              <w:pStyle w:val="BodyText"/>
              <w:rPr>
                <w:lang w:val="en-NZ"/>
              </w:rPr>
            </w:pPr>
            <w:r w:rsidRPr="00A4521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216" w:rsidP="00A45216">
            <w:pPr>
              <w:pStyle w:val="ListBullet"/>
            </w:pPr>
            <w:r w:rsidRPr="00A45216">
              <w:t>Interpret operating manuals for cont</w:t>
            </w:r>
            <w:r w:rsidRPr="00A45216">
              <w:t>inuous dry rendering equipment</w:t>
            </w:r>
          </w:p>
          <w:p w:rsidR="00000000" w:rsidP="00A45216">
            <w:pPr>
              <w:pStyle w:val="ListBullet"/>
              <w:rPr>
                <w:lang w:val="en-NZ"/>
              </w:rPr>
            </w:pPr>
            <w:r w:rsidRPr="00A45216">
              <w:t>Interpret symbols and gauges</w:t>
            </w:r>
          </w:p>
        </w:tc>
      </w:tr>
      <w:tr w:rsidTr="00A452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216">
            <w:pPr>
              <w:pStyle w:val="BodyText"/>
              <w:rPr>
                <w:lang w:val="en-NZ"/>
              </w:rPr>
            </w:pPr>
            <w:r w:rsidRPr="00A4521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216">
            <w:pPr>
              <w:pStyle w:val="ListBullet"/>
              <w:rPr>
                <w:lang w:val="en-NZ"/>
              </w:rPr>
            </w:pPr>
            <w:r w:rsidRPr="00A45216">
              <w:t xml:space="preserve">Complete records using industry terminology </w:t>
            </w:r>
          </w:p>
        </w:tc>
      </w:tr>
      <w:tr w:rsidTr="00A452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216">
            <w:pPr>
              <w:pStyle w:val="BodyText"/>
              <w:rPr>
                <w:lang w:val="en-NZ"/>
              </w:rPr>
            </w:pPr>
            <w:r w:rsidRPr="00A4521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216">
            <w:pPr>
              <w:pStyle w:val="ListBullet"/>
              <w:rPr>
                <w:lang w:val="en-NZ"/>
              </w:rPr>
            </w:pPr>
            <w:r w:rsidRPr="00A45216">
              <w:t>Use open and closed questions to clarify information</w:t>
            </w:r>
          </w:p>
        </w:tc>
      </w:tr>
      <w:tr w:rsidTr="00A452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216">
            <w:pPr>
              <w:pStyle w:val="BodyText"/>
              <w:rPr>
                <w:lang w:val="en-NZ"/>
              </w:rPr>
            </w:pPr>
            <w:r w:rsidRPr="00A4521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216" w:rsidP="00A45216">
            <w:pPr>
              <w:pStyle w:val="ListBullet"/>
            </w:pPr>
            <w:r w:rsidRPr="00A45216">
              <w:t>Estimate and measure volume (mls, L) , time (Hrs, mins), temperature (degrees Celsius) and pressure (psi)</w:t>
            </w:r>
          </w:p>
        </w:tc>
      </w:tr>
    </w:tbl>
    <w:p w:rsidR="00000000" w:rsidRPr="00A45216" w:rsidP="00A45216">
      <w:pPr>
        <w:pStyle w:val="BodyText"/>
      </w:pPr>
    </w:p>
    <w:p w:rsidR="00000000" w:rsidRPr="00A45216" w:rsidP="00A45216">
      <w:pPr>
        <w:pStyle w:val="AllowPageBreak"/>
      </w:pPr>
    </w:p>
    <w:p w:rsidR="00000000" w:rsidRPr="00A45216" w:rsidP="00A45216">
      <w:pPr>
        <w:pStyle w:val="Heading1"/>
      </w:pPr>
      <w:bookmarkStart w:id="7" w:name="O_1202525"/>
      <w:bookmarkEnd w:id="7"/>
      <w:r w:rsidRPr="00A4521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452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216">
            <w:pPr>
              <w:pStyle w:val="BodyTextBold"/>
              <w:rPr>
                <w:lang w:val="en-NZ"/>
              </w:rPr>
            </w:pPr>
            <w:r w:rsidRPr="00A4521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216">
            <w:pPr>
              <w:pStyle w:val="BodyTextBold"/>
              <w:rPr>
                <w:lang w:val="en-NZ"/>
              </w:rPr>
            </w:pPr>
            <w:r w:rsidRPr="00A4521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216">
            <w:pPr>
              <w:pStyle w:val="BodyTextBold"/>
              <w:rPr>
                <w:lang w:val="en-NZ"/>
              </w:rPr>
            </w:pPr>
            <w:r w:rsidRPr="00A4521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216">
            <w:pPr>
              <w:pStyle w:val="BodyTextBold"/>
              <w:rPr>
                <w:lang w:val="en-NZ"/>
              </w:rPr>
            </w:pPr>
            <w:r w:rsidRPr="00A45216">
              <w:t>Equivalence status</w:t>
            </w:r>
          </w:p>
        </w:tc>
      </w:tr>
      <w:tr w:rsidTr="00A452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216" w:rsidP="00A45216">
            <w:pPr>
              <w:pStyle w:val="BodyText"/>
            </w:pPr>
            <w:r w:rsidRPr="00A45216">
              <w:t>AMPREN302 Operate and monitor a continuous dry rendering process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216">
            <w:pPr>
              <w:pStyle w:val="BodyText"/>
              <w:rPr>
                <w:lang w:val="en-NZ"/>
              </w:rPr>
            </w:pPr>
            <w:r w:rsidRPr="00A45216">
              <w:t>AMPA3083 Operate continuous cooker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216" w:rsidP="00A45216">
            <w:pPr>
              <w:pStyle w:val="BodyText"/>
            </w:pPr>
            <w:r w:rsidRPr="00A45216">
              <w:t>Unit merged with AMPA3084 Operate press</w:t>
            </w:r>
          </w:p>
          <w:p w:rsidR="00000000" w:rsidRPr="00A45216" w:rsidP="00A45216">
            <w:pPr>
              <w:pStyle w:val="BodyText"/>
            </w:pPr>
            <w:r w:rsidRPr="00A45216">
              <w:t>New unit sector, code and title to better match work task</w:t>
            </w:r>
          </w:p>
          <w:p w:rsidR="00000000" w:rsidRPr="00A45216" w:rsidP="00A45216">
            <w:pPr>
              <w:pStyle w:val="BodyText"/>
            </w:pPr>
            <w:r w:rsidRPr="00A45216">
              <w:t>Updated Elements and Performance Criteria</w:t>
            </w:r>
          </w:p>
          <w:p w:rsidR="00000000" w:rsidRPr="00A45216" w:rsidP="00A45216">
            <w:pPr>
              <w:pStyle w:val="BodyText"/>
            </w:pPr>
            <w:r w:rsidRPr="00A45216">
              <w:t>Added Foundatio</w:t>
            </w:r>
            <w:r w:rsidRPr="00A45216">
              <w:t>n Skills</w:t>
            </w:r>
          </w:p>
          <w:p w:rsidR="00000000" w:rsidRPr="00A45216" w:rsidP="00A45216">
            <w:pPr>
              <w:pStyle w:val="BodyText"/>
            </w:pPr>
            <w:r w:rsidRPr="00A45216">
              <w:t>Revised Performance Evidence and Knowledge Evidence</w:t>
            </w:r>
          </w:p>
          <w:p w:rsidR="00000000" w:rsidP="00A45216">
            <w:pPr>
              <w:pStyle w:val="BodyText"/>
              <w:rPr>
                <w:lang w:val="en-NZ"/>
              </w:rPr>
            </w:pPr>
            <w:r w:rsidRPr="00A45216">
              <w:t>Clarified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216">
            <w:pPr>
              <w:pStyle w:val="BodyText"/>
              <w:rPr>
                <w:lang w:val="en-NZ"/>
              </w:rPr>
            </w:pPr>
            <w:r w:rsidRPr="00A45216">
              <w:t>Not equivalent</w:t>
            </w:r>
          </w:p>
        </w:tc>
      </w:tr>
      <w:tr w:rsidTr="00A452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216">
            <w:pPr>
              <w:pStyle w:val="BodyText"/>
              <w:rPr>
                <w:lang w:val="en-NZ"/>
              </w:rPr>
            </w:pPr>
            <w:r w:rsidRPr="00A45216">
              <w:t>AMPREN302 Operate and monitor a continuous dry rendering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216">
            <w:pPr>
              <w:pStyle w:val="BodyText"/>
              <w:rPr>
                <w:lang w:val="en-NZ"/>
              </w:rPr>
            </w:pPr>
            <w:r w:rsidRPr="00A45216">
              <w:t>AMPA3084 Operate press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216" w:rsidP="00A45216">
            <w:pPr>
              <w:pStyle w:val="BodyText"/>
            </w:pPr>
            <w:r w:rsidRPr="00A45216">
              <w:t>Unit merged with AMP3083 Operate continuous cooker</w:t>
            </w:r>
          </w:p>
          <w:p w:rsidR="00000000" w:rsidP="00A45216">
            <w:pPr>
              <w:pStyle w:val="BodyText"/>
              <w:rPr>
                <w:lang w:val="en-NZ"/>
              </w:rPr>
            </w:pPr>
            <w:r w:rsidRPr="00A45216">
              <w:t>New unit</w:t>
            </w:r>
            <w:r w:rsidRPr="00A45216">
              <w:t xml:space="preserve"> sector, code and title to better match work task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216" w:rsidP="00A45216">
            <w:pPr>
              <w:pStyle w:val="BodyText"/>
            </w:pPr>
            <w:r w:rsidRPr="00A45216">
              <w:t>Not equivalent</w:t>
            </w:r>
          </w:p>
        </w:tc>
      </w:tr>
    </w:tbl>
    <w:p w:rsidR="00000000" w:rsidRPr="00A45216" w:rsidP="00A45216">
      <w:pPr>
        <w:pStyle w:val="BodyText"/>
      </w:pPr>
    </w:p>
    <w:p w:rsidR="00000000" w:rsidRPr="00A45216" w:rsidP="00A45216">
      <w:pPr>
        <w:pStyle w:val="AllowPageBreak"/>
      </w:pPr>
    </w:p>
    <w:p w:rsidR="00000000" w:rsidRPr="00A45216" w:rsidP="00A45216">
      <w:pPr>
        <w:pStyle w:val="Heading1"/>
      </w:pPr>
      <w:bookmarkStart w:id="8" w:name="O_1202532"/>
      <w:bookmarkEnd w:id="8"/>
      <w:r w:rsidRPr="00A45216">
        <w:t>Links</w:t>
      </w:r>
    </w:p>
    <w:p w:rsidR="00000000" w:rsidRPr="00A45216" w:rsidP="009F1C59">
      <w:pPr>
        <w:pStyle w:val="BodyText"/>
      </w:pPr>
      <w:r w:rsidRPr="00A4521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D137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45216" w:rsidP="00A45216"/>
    <w:sectPr w:rsidSect="00A452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2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216" w:rsidRPr="009F1C59" w:rsidP="009F1C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2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C59" w:rsidP="00A452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1C59" w:rsidP="00A452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F1C59" w:rsidP="00A452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2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C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5216" w:rsidRPr="009F1C59" w:rsidP="009F1C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2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C59" w:rsidRPr="002D2AF8" w:rsidP="00A452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AMPREN302 Operate and monitor a continuous dry rendering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9F1C59" w:rsidP="00A452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A2B7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04A3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2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52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52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52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52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52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52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52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52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52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52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5216"/>
  </w:style>
  <w:style w:type="character" w:customStyle="1" w:styleId="Heading1Char">
    <w:name w:val="Heading 1 Char"/>
    <w:basedOn w:val="DefaultParagraphFont"/>
    <w:link w:val="Heading1"/>
    <w:rsid w:val="00A452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52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52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521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45216"/>
    <w:rPr>
      <w:i/>
    </w:rPr>
  </w:style>
  <w:style w:type="paragraph" w:customStyle="1" w:styleId="SuperHeading">
    <w:name w:val="SuperHeading"/>
    <w:basedOn w:val="Normal"/>
    <w:rsid w:val="00A452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52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45216"/>
    <w:rPr>
      <w:b/>
    </w:rPr>
  </w:style>
  <w:style w:type="character" w:customStyle="1" w:styleId="Heading2Char">
    <w:name w:val="Heading 2 Char"/>
    <w:basedOn w:val="DefaultParagraphFont"/>
    <w:link w:val="Heading2"/>
    <w:rsid w:val="00A452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52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52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52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52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52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52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52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52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52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52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52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52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52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52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52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52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52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52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52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5216"/>
    <w:rPr>
      <w:b/>
      <w:spacing w:val="0"/>
    </w:rPr>
  </w:style>
  <w:style w:type="paragraph" w:customStyle="1" w:styleId="SuperTitle">
    <w:name w:val="SuperTitle"/>
    <w:basedOn w:val="Title"/>
    <w:rsid w:val="00A452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52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52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52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52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52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52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52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52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52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52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52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52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52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52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52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5216"/>
  </w:style>
  <w:style w:type="paragraph" w:styleId="TableofFigures">
    <w:name w:val="table of figures"/>
    <w:basedOn w:val="Normal"/>
    <w:next w:val="Normal"/>
    <w:semiHidden/>
    <w:rsid w:val="00A452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52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5216"/>
    <w:rPr>
      <w:rFonts w:ascii="Wingdings" w:hAnsi="Wingdings"/>
    </w:rPr>
  </w:style>
  <w:style w:type="paragraph" w:customStyle="1" w:styleId="TableHeading">
    <w:name w:val="Table Heading"/>
    <w:basedOn w:val="HeadingBase"/>
    <w:rsid w:val="00A452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5216"/>
    <w:rPr>
      <w:color w:val="0033CC"/>
      <w:u w:val="none"/>
    </w:rPr>
  </w:style>
  <w:style w:type="paragraph" w:customStyle="1" w:styleId="BodyTextRight">
    <w:name w:val="Body Text Right"/>
    <w:basedOn w:val="BodyText"/>
    <w:rsid w:val="00A452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52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52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52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52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52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5216"/>
    <w:rPr>
      <w:sz w:val="32"/>
    </w:rPr>
  </w:style>
  <w:style w:type="paragraph" w:customStyle="1" w:styleId="HeadingProcedure">
    <w:name w:val="Heading Procedure"/>
    <w:basedOn w:val="HeadingBase"/>
    <w:next w:val="Normal"/>
    <w:rsid w:val="00A452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5216"/>
    <w:pPr>
      <w:spacing w:before="60" w:after="60"/>
    </w:pPr>
  </w:style>
  <w:style w:type="paragraph" w:styleId="ListContinue">
    <w:name w:val="List Continue"/>
    <w:basedOn w:val="List"/>
    <w:rsid w:val="00A45216"/>
    <w:pPr>
      <w:ind w:firstLine="0"/>
    </w:pPr>
  </w:style>
  <w:style w:type="paragraph" w:customStyle="1" w:styleId="ListNote">
    <w:name w:val="List Note"/>
    <w:basedOn w:val="List"/>
    <w:rsid w:val="00A452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52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52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5216"/>
    <w:rPr>
      <w:rFonts w:ascii="Courier New" w:hAnsi="Courier New"/>
    </w:rPr>
  </w:style>
  <w:style w:type="paragraph" w:customStyle="1" w:styleId="NoteBullet">
    <w:name w:val="Note Bullet"/>
    <w:basedOn w:val="Note"/>
    <w:rsid w:val="00A452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52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52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52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52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52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52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5216"/>
    <w:rPr>
      <w:b/>
      <w:smallCaps/>
    </w:rPr>
  </w:style>
  <w:style w:type="paragraph" w:customStyle="1" w:styleId="TableListNumber">
    <w:name w:val="Table List Number"/>
    <w:basedOn w:val="ListNumber"/>
    <w:rsid w:val="00A452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52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5216"/>
    <w:pPr>
      <w:numPr>
        <w:numId w:val="8"/>
      </w:numPr>
    </w:pPr>
  </w:style>
  <w:style w:type="paragraph" w:customStyle="1" w:styleId="ListAlpha2">
    <w:name w:val="List Alpha 2"/>
    <w:basedOn w:val="List2"/>
    <w:rsid w:val="00A45216"/>
    <w:pPr>
      <w:numPr>
        <w:numId w:val="7"/>
      </w:numPr>
    </w:pPr>
  </w:style>
  <w:style w:type="paragraph" w:styleId="List2">
    <w:name w:val="List 2"/>
    <w:basedOn w:val="BodyText"/>
    <w:rsid w:val="00A452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52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52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52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52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52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5216"/>
    <w:pPr>
      <w:numPr>
        <w:numId w:val="3"/>
      </w:numPr>
    </w:pPr>
  </w:style>
  <w:style w:type="paragraph" w:styleId="ListContinue2">
    <w:name w:val="List Continue 2"/>
    <w:basedOn w:val="List2"/>
    <w:rsid w:val="00A45216"/>
    <w:pPr>
      <w:ind w:firstLine="0"/>
    </w:pPr>
  </w:style>
  <w:style w:type="paragraph" w:styleId="ListContinue3">
    <w:name w:val="List Continue 3"/>
    <w:basedOn w:val="List3"/>
    <w:rsid w:val="00A45216"/>
    <w:pPr>
      <w:ind w:left="1021" w:firstLine="0"/>
    </w:pPr>
  </w:style>
  <w:style w:type="paragraph" w:styleId="ListContinue4">
    <w:name w:val="List Continue 4"/>
    <w:basedOn w:val="List4"/>
    <w:rsid w:val="00A45216"/>
    <w:pPr>
      <w:ind w:firstLine="0"/>
    </w:pPr>
  </w:style>
  <w:style w:type="paragraph" w:styleId="ListContinue5">
    <w:name w:val="List Continue 5"/>
    <w:basedOn w:val="List5"/>
    <w:rsid w:val="00A45216"/>
    <w:pPr>
      <w:ind w:firstLine="0"/>
    </w:pPr>
  </w:style>
  <w:style w:type="paragraph" w:styleId="ListNumber3">
    <w:name w:val="List Number 3"/>
    <w:basedOn w:val="List3"/>
    <w:rsid w:val="00A45216"/>
    <w:pPr>
      <w:numPr>
        <w:numId w:val="4"/>
      </w:numPr>
    </w:pPr>
  </w:style>
  <w:style w:type="paragraph" w:styleId="ListNumber4">
    <w:name w:val="List Number 4"/>
    <w:basedOn w:val="List4"/>
    <w:rsid w:val="00A45216"/>
    <w:pPr>
      <w:numPr>
        <w:numId w:val="5"/>
      </w:numPr>
    </w:pPr>
  </w:style>
  <w:style w:type="paragraph" w:styleId="ListNumber5">
    <w:name w:val="List Number 5"/>
    <w:basedOn w:val="List5"/>
    <w:rsid w:val="00A45216"/>
    <w:pPr>
      <w:numPr>
        <w:numId w:val="6"/>
      </w:numPr>
    </w:pPr>
  </w:style>
  <w:style w:type="paragraph" w:styleId="BlockText">
    <w:name w:val="Block Text"/>
    <w:basedOn w:val="Normal"/>
    <w:rsid w:val="00A452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52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5216"/>
    <w:rPr>
      <w:sz w:val="16"/>
      <w:vertAlign w:val="superscript"/>
    </w:rPr>
  </w:style>
  <w:style w:type="character" w:customStyle="1" w:styleId="Symbols">
    <w:name w:val="Symbols"/>
    <w:basedOn w:val="DefaultParagraphFont"/>
    <w:rsid w:val="00A45216"/>
    <w:rPr>
      <w:rFonts w:ascii="Symbol" w:hAnsi="Symbol"/>
    </w:rPr>
  </w:style>
  <w:style w:type="character" w:customStyle="1" w:styleId="MenuOptions">
    <w:name w:val="Menu Options"/>
    <w:basedOn w:val="DefaultParagraphFont"/>
    <w:rsid w:val="00A452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5216"/>
    <w:rPr>
      <w:b/>
    </w:rPr>
  </w:style>
  <w:style w:type="character" w:customStyle="1" w:styleId="Underlined">
    <w:name w:val="Underlined"/>
    <w:basedOn w:val="DefaultParagraphFont"/>
    <w:rsid w:val="00A45216"/>
    <w:rPr>
      <w:u w:val="single"/>
    </w:rPr>
  </w:style>
  <w:style w:type="paragraph" w:customStyle="1" w:styleId="TableBodyTextRight">
    <w:name w:val="Table Body Text Right"/>
    <w:basedOn w:val="TableBodyText"/>
    <w:rsid w:val="00A452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5216"/>
    <w:rPr>
      <w:sz w:val="18"/>
    </w:rPr>
  </w:style>
  <w:style w:type="paragraph" w:customStyle="1" w:styleId="BodySmallRight">
    <w:name w:val="Body Small Right"/>
    <w:basedOn w:val="BodyTextRight"/>
    <w:rsid w:val="00A45216"/>
    <w:rPr>
      <w:sz w:val="18"/>
      <w:szCs w:val="18"/>
    </w:rPr>
  </w:style>
  <w:style w:type="paragraph" w:customStyle="1" w:styleId="MarginEdition">
    <w:name w:val="Margin Edition"/>
    <w:basedOn w:val="MarginNote"/>
    <w:rsid w:val="00A452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5216"/>
    <w:rPr>
      <w:sz w:val="2"/>
      <w:szCs w:val="2"/>
    </w:rPr>
  </w:style>
  <w:style w:type="character" w:customStyle="1" w:styleId="Small">
    <w:name w:val="Small"/>
    <w:basedOn w:val="DefaultParagraphFont"/>
    <w:rsid w:val="00A45216"/>
    <w:rPr>
      <w:sz w:val="16"/>
    </w:rPr>
  </w:style>
  <w:style w:type="paragraph" w:customStyle="1" w:styleId="WideTable">
    <w:name w:val="Wide Table"/>
    <w:basedOn w:val="Normal"/>
    <w:rsid w:val="00A452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5216"/>
  </w:style>
  <w:style w:type="paragraph" w:styleId="Quote">
    <w:name w:val="Quote"/>
    <w:basedOn w:val="Heading1"/>
    <w:link w:val="QuoteChar"/>
    <w:qFormat/>
    <w:rsid w:val="00A452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52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5216"/>
    <w:pPr>
      <w:pageBreakBefore/>
    </w:pPr>
  </w:style>
  <w:style w:type="paragraph" w:customStyle="1" w:styleId="Border">
    <w:name w:val="Border"/>
    <w:basedOn w:val="Normal"/>
    <w:qFormat/>
    <w:rsid w:val="00A452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52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2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2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52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52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52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52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52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5216"/>
    <w:rPr>
      <w:u w:val="single"/>
    </w:rPr>
  </w:style>
  <w:style w:type="character" w:customStyle="1" w:styleId="BoldandItalics">
    <w:name w:val="Bold and Italics"/>
    <w:qFormat/>
    <w:rsid w:val="00A45216"/>
    <w:rPr>
      <w:b/>
      <w:i/>
      <w:u w:val="none"/>
    </w:rPr>
  </w:style>
  <w:style w:type="paragraph" w:styleId="BalloonText">
    <w:name w:val="Balloon Text"/>
    <w:basedOn w:val="Normal"/>
    <w:link w:val="BalloonTextChar"/>
    <w:rsid w:val="00A452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52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52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52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52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52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521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F1C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4145</Characters>
  <Application>Microsoft Office Word</Application>
  <DocSecurity>0</DocSecurity>
  <Lines>159</Lines>
  <Paragraphs>97</Paragraphs>
  <ScaleCrop>false</ScaleCrop>
  <Company>Author-it Software Corporation Ltd.</Company>
  <LinksUpToDate>false</LinksUpToDate>
  <CharactersWithSpaces>4696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AMPREN302 Operate and monitor a continuous dry rendering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2023-01-24T23:05:00Z</dcterms:created>
  <dcterms:modified xsi:type="dcterms:W3CDTF">2023-01-24T23:05:00Z</dcterms:modified>
</cp:coreProperties>
</file>